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9E" w:rsidRDefault="001E249E" w:rsidP="00A67F6C">
      <w:pPr>
        <w:keepLines/>
        <w:widowControl w:val="0"/>
        <w:suppressAutoHyphens/>
        <w:jc w:val="center"/>
        <w:rPr>
          <w:b/>
        </w:rPr>
      </w:pPr>
      <w:r w:rsidRPr="00686B1C">
        <w:rPr>
          <w:b/>
        </w:rPr>
        <w:t>Техническое задание (описание объекта закупки и условия исполнения государственного контракта)</w:t>
      </w:r>
    </w:p>
    <w:p w:rsidR="00D842AF" w:rsidRPr="00686B1C" w:rsidRDefault="00D842AF" w:rsidP="00A67F6C">
      <w:pPr>
        <w:keepLines/>
        <w:widowControl w:val="0"/>
        <w:suppressAutoHyphens/>
        <w:jc w:val="center"/>
        <w:rPr>
          <w:b/>
        </w:rPr>
      </w:pPr>
    </w:p>
    <w:p w:rsidR="00421F30" w:rsidRPr="0069211D" w:rsidRDefault="0069211D" w:rsidP="00A67F6C">
      <w:pPr>
        <w:keepLines/>
        <w:widowControl w:val="0"/>
        <w:suppressAutoHyphens/>
        <w:jc w:val="center"/>
        <w:rPr>
          <w:b/>
          <w:bCs/>
        </w:rPr>
      </w:pPr>
      <w:r w:rsidRPr="0069211D">
        <w:rPr>
          <w:b/>
          <w:bCs/>
        </w:rPr>
        <w:t>Выполнение работ по обеспечению протезами голени</w:t>
      </w:r>
    </w:p>
    <w:p w:rsidR="0069211D" w:rsidRDefault="0069211D" w:rsidP="00A67F6C">
      <w:pPr>
        <w:keepLines/>
        <w:widowControl w:val="0"/>
        <w:suppressAutoHyphens/>
        <w:jc w:val="center"/>
      </w:pPr>
    </w:p>
    <w:tbl>
      <w:tblPr>
        <w:tblStyle w:val="a3"/>
        <w:tblW w:w="5166" w:type="pct"/>
        <w:tblLayout w:type="fixed"/>
        <w:tblLook w:val="04A0" w:firstRow="1" w:lastRow="0" w:firstColumn="1" w:lastColumn="0" w:noHBand="0" w:noVBand="1"/>
      </w:tblPr>
      <w:tblGrid>
        <w:gridCol w:w="681"/>
        <w:gridCol w:w="2185"/>
        <w:gridCol w:w="2878"/>
        <w:gridCol w:w="4656"/>
        <w:gridCol w:w="907"/>
        <w:gridCol w:w="1024"/>
        <w:gridCol w:w="1372"/>
        <w:gridCol w:w="1574"/>
      </w:tblGrid>
      <w:tr w:rsidR="00421F30" w:rsidRPr="00CD6EB0" w:rsidTr="00CD6EB0">
        <w:tc>
          <w:tcPr>
            <w:tcW w:w="223" w:type="pct"/>
          </w:tcPr>
          <w:p w:rsidR="00421F30" w:rsidRPr="00421F30" w:rsidRDefault="00421F30" w:rsidP="00A67F6C">
            <w:pPr>
              <w:keepLines/>
              <w:widowControl w:val="0"/>
              <w:suppressAutoHyphens/>
              <w:jc w:val="both"/>
            </w:pPr>
            <w:r w:rsidRPr="00421F30">
              <w:t>№ п/п</w:t>
            </w:r>
          </w:p>
        </w:tc>
        <w:tc>
          <w:tcPr>
            <w:tcW w:w="715" w:type="pct"/>
          </w:tcPr>
          <w:p w:rsidR="00421F30" w:rsidRPr="00421F30" w:rsidRDefault="00421F30" w:rsidP="00A67F6C">
            <w:pPr>
              <w:keepLines/>
              <w:widowControl w:val="0"/>
              <w:suppressAutoHyphens/>
              <w:jc w:val="both"/>
            </w:pPr>
            <w:r w:rsidRPr="00CD6EB0">
              <w:t>Наименование товара, работ, услуг</w:t>
            </w:r>
          </w:p>
        </w:tc>
        <w:tc>
          <w:tcPr>
            <w:tcW w:w="942" w:type="pct"/>
          </w:tcPr>
          <w:p w:rsidR="00421F30" w:rsidRPr="00421F30" w:rsidRDefault="00421F30" w:rsidP="00A67F6C">
            <w:pPr>
              <w:keepLines/>
              <w:widowControl w:val="0"/>
              <w:suppressAutoHyphens/>
              <w:jc w:val="both"/>
              <w:rPr>
                <w:sz w:val="22"/>
                <w:szCs w:val="22"/>
              </w:rPr>
            </w:pPr>
            <w:r w:rsidRPr="00CD6EB0">
              <w:rPr>
                <w:sz w:val="22"/>
                <w:szCs w:val="22"/>
              </w:rPr>
              <w:t xml:space="preserve">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w:t>
            </w:r>
            <w:r w:rsidRPr="00CD6EB0">
              <w:rPr>
                <w:sz w:val="22"/>
                <w:szCs w:val="22"/>
              </w:rPr>
              <w:lastRenderedPageBreak/>
              <w:t xml:space="preserve">Федерации от 30 декабря 2005 г. N 2347-р» и индивидуальной программой реабилитации и </w:t>
            </w:r>
            <w:proofErr w:type="spellStart"/>
            <w:r w:rsidRPr="00CD6EB0">
              <w:rPr>
                <w:sz w:val="22"/>
                <w:szCs w:val="22"/>
              </w:rPr>
              <w:t>абилитации</w:t>
            </w:r>
            <w:proofErr w:type="spellEnd"/>
            <w:r w:rsidRPr="00CD6EB0">
              <w:rPr>
                <w:sz w:val="22"/>
                <w:szCs w:val="22"/>
              </w:rPr>
              <w:t xml:space="preserve"> инвалида</w:t>
            </w:r>
          </w:p>
        </w:tc>
        <w:tc>
          <w:tcPr>
            <w:tcW w:w="1524" w:type="pct"/>
          </w:tcPr>
          <w:p w:rsidR="00421F30" w:rsidRPr="00421F30" w:rsidRDefault="00421F30" w:rsidP="00A67F6C">
            <w:pPr>
              <w:keepLines/>
              <w:widowControl w:val="0"/>
              <w:suppressAutoHyphens/>
              <w:jc w:val="both"/>
            </w:pPr>
            <w:r w:rsidRPr="00421F30">
              <w:lastRenderedPageBreak/>
              <w:t>Описание объекта закупки</w:t>
            </w:r>
          </w:p>
        </w:tc>
        <w:tc>
          <w:tcPr>
            <w:tcW w:w="297" w:type="pct"/>
          </w:tcPr>
          <w:p w:rsidR="00421F30" w:rsidRPr="00421F30" w:rsidRDefault="006C2B62" w:rsidP="00A67F6C">
            <w:pPr>
              <w:keepLines/>
              <w:widowControl w:val="0"/>
              <w:suppressAutoHyphens/>
              <w:jc w:val="both"/>
            </w:pPr>
            <w:r>
              <w:t>Объем</w:t>
            </w:r>
          </w:p>
        </w:tc>
        <w:tc>
          <w:tcPr>
            <w:tcW w:w="335" w:type="pct"/>
          </w:tcPr>
          <w:p w:rsidR="00421F30" w:rsidRPr="00421F30" w:rsidRDefault="00421F30" w:rsidP="00A67F6C">
            <w:pPr>
              <w:keepLines/>
              <w:widowControl w:val="0"/>
              <w:suppressAutoHyphens/>
              <w:jc w:val="both"/>
            </w:pPr>
            <w:r w:rsidRPr="00421F30">
              <w:t>Ед. изм.</w:t>
            </w:r>
          </w:p>
        </w:tc>
        <w:tc>
          <w:tcPr>
            <w:tcW w:w="449" w:type="pct"/>
          </w:tcPr>
          <w:p w:rsidR="00421F30" w:rsidRPr="00421F30" w:rsidRDefault="00421F30" w:rsidP="00A67F6C">
            <w:pPr>
              <w:keepLines/>
              <w:widowControl w:val="0"/>
              <w:suppressAutoHyphens/>
              <w:jc w:val="both"/>
            </w:pPr>
            <w:r w:rsidRPr="00421F30">
              <w:t>Цена за ед. изм.</w:t>
            </w:r>
            <w:r w:rsidRPr="00CD6EB0">
              <w:rPr>
                <w:vertAlign w:val="superscript"/>
              </w:rPr>
              <w:footnoteReference w:id="1"/>
            </w:r>
            <w:r w:rsidRPr="00421F30">
              <w:t>, руб.</w:t>
            </w:r>
          </w:p>
        </w:tc>
        <w:tc>
          <w:tcPr>
            <w:tcW w:w="515" w:type="pct"/>
          </w:tcPr>
          <w:p w:rsidR="00421F30" w:rsidRPr="00421F30" w:rsidRDefault="00421F30" w:rsidP="00A67F6C">
            <w:pPr>
              <w:keepLines/>
              <w:widowControl w:val="0"/>
              <w:suppressAutoHyphens/>
              <w:jc w:val="both"/>
            </w:pPr>
            <w:r w:rsidRPr="00421F30">
              <w:t>Цена по позиции</w:t>
            </w:r>
            <w:r w:rsidRPr="00CD6EB0">
              <w:rPr>
                <w:vertAlign w:val="superscript"/>
              </w:rPr>
              <w:footnoteReference w:id="2"/>
            </w:r>
            <w:r w:rsidRPr="00421F30">
              <w:t>, руб.</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1.</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69211D" w:rsidP="00A67F6C">
            <w:pPr>
              <w:keepLines/>
              <w:widowControl w:val="0"/>
              <w:suppressAutoHyphens/>
              <w:jc w:val="both"/>
            </w:pPr>
            <w:r w:rsidRPr="0069211D">
              <w:t xml:space="preserve">Облицовка должна быть мягкая полиуретановая (поролон), покрытие облицовки чулки </w:t>
            </w:r>
            <w:proofErr w:type="spellStart"/>
            <w:r w:rsidRPr="0069211D">
              <w:t>перлоновые</w:t>
            </w:r>
            <w:proofErr w:type="spellEnd"/>
            <w:r w:rsidRPr="0069211D">
              <w:t xml:space="preserve"> ортопедические; гильза должна быть индивидуальная изготовленная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гелиевого; крепления протеза голени на инвалиде должно быть с использованием полимерного гелиевого наколенника; регулировочно-соединительные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153 351,62</w:t>
            </w:r>
          </w:p>
        </w:tc>
        <w:tc>
          <w:tcPr>
            <w:tcW w:w="515" w:type="pct"/>
          </w:tcPr>
          <w:p w:rsidR="00421F30" w:rsidRPr="00421F30" w:rsidRDefault="00421F30" w:rsidP="00A67F6C">
            <w:pPr>
              <w:keepLines/>
              <w:widowControl w:val="0"/>
              <w:suppressAutoHyphens/>
              <w:jc w:val="both"/>
            </w:pPr>
            <w:r w:rsidRPr="00421F30">
              <w:t>766 758,10</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2.</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69211D" w:rsidP="00A67F6C">
            <w:pPr>
              <w:keepLines/>
              <w:widowControl w:val="0"/>
              <w:suppressAutoHyphens/>
              <w:jc w:val="both"/>
            </w:pPr>
            <w:r w:rsidRPr="0069211D">
              <w:t xml:space="preserve">Облицовка мягкая должна быть полиуретановая (поролон), покрытие облицовки чулки </w:t>
            </w:r>
            <w:proofErr w:type="spellStart"/>
            <w:r w:rsidRPr="0069211D">
              <w:t>перлоновые</w:t>
            </w:r>
            <w:proofErr w:type="spellEnd"/>
            <w:r w:rsidRPr="0069211D">
              <w:t xml:space="preserve"> ортопедические; гильза должна быть индивидуальная изготовленная по индивидуальному слепку с культи </w:t>
            </w:r>
            <w:r w:rsidRPr="0069211D">
              <w:lastRenderedPageBreak/>
              <w:t xml:space="preserve">инвалида; количество приемных (пробных) гильз должно быть- 1;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69211D">
              <w:t>гелевого</w:t>
            </w:r>
            <w:proofErr w:type="spellEnd"/>
            <w:r w:rsidRPr="0069211D">
              <w:t>; крепление протеза голени на инвалиде должно быть с использованием гильзы (манжеты с шинами) бедра; регулировочно-соединительные устройства должны соответствовать весу инвалида; стопа с голеностопным шарниром, подвижным в сагиттальной плоскости, со сменным пяточным амортизатором; поворотное устройство должно отсутствовать; для пациентов 1 - 2 уровня активности; тип протеза по назначению должен быть: постоянный</w:t>
            </w:r>
            <w:r>
              <w:t>.</w:t>
            </w:r>
          </w:p>
        </w:tc>
        <w:tc>
          <w:tcPr>
            <w:tcW w:w="297" w:type="pct"/>
          </w:tcPr>
          <w:p w:rsidR="00421F30" w:rsidRPr="00421F30" w:rsidRDefault="00421F30" w:rsidP="00A67F6C">
            <w:pPr>
              <w:keepLines/>
              <w:widowControl w:val="0"/>
              <w:suppressAutoHyphens/>
              <w:jc w:val="both"/>
            </w:pPr>
            <w:r w:rsidRPr="00421F30">
              <w:lastRenderedPageBreak/>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171 598,36</w:t>
            </w:r>
          </w:p>
        </w:tc>
        <w:tc>
          <w:tcPr>
            <w:tcW w:w="515" w:type="pct"/>
          </w:tcPr>
          <w:p w:rsidR="00421F30" w:rsidRPr="00421F30" w:rsidRDefault="00421F30" w:rsidP="00A67F6C">
            <w:pPr>
              <w:keepLines/>
              <w:widowControl w:val="0"/>
              <w:suppressAutoHyphens/>
              <w:jc w:val="both"/>
            </w:pPr>
            <w:r w:rsidRPr="00421F30">
              <w:t>857 991,80</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3.</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tcPr>
          <w:p w:rsidR="00421F30" w:rsidRPr="00421F30" w:rsidRDefault="0069211D" w:rsidP="00A67F6C">
            <w:pPr>
              <w:keepLines/>
              <w:widowControl w:val="0"/>
              <w:suppressAutoHyphens/>
              <w:jc w:val="both"/>
            </w:pPr>
            <w:r w:rsidRPr="0069211D">
              <w:t xml:space="preserve">Протез голени должен быть на короткую культю, облицовка поролон, покрытие облицовки чулки </w:t>
            </w:r>
            <w:proofErr w:type="spellStart"/>
            <w:r w:rsidRPr="0069211D">
              <w:t>перлоновые</w:t>
            </w:r>
            <w:proofErr w:type="spellEnd"/>
            <w:r w:rsidRPr="0069211D">
              <w:t xml:space="preserve"> ортопедические; гильза должна быть индивидуальная изготовленная по индивидуальному слепку с культи инвалида; приемная гильза должна быть из литьевого слоистого пластика на основе акриловых смол; крепление протеза голени на инвалиде должно быть комбинированное: с использованием замка для полимерных чехлов и гильзы бедра (с использованием манжеты с шинами); регулировочно - соединительные устройства должны соответствовать весу </w:t>
            </w:r>
            <w:r w:rsidRPr="0069211D">
              <w:lastRenderedPageBreak/>
              <w:t>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lastRenderedPageBreak/>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194 119,15</w:t>
            </w:r>
          </w:p>
        </w:tc>
        <w:tc>
          <w:tcPr>
            <w:tcW w:w="515" w:type="pct"/>
          </w:tcPr>
          <w:p w:rsidR="00421F30" w:rsidRPr="00421F30" w:rsidRDefault="00421F30" w:rsidP="00A67F6C">
            <w:pPr>
              <w:keepLines/>
              <w:widowControl w:val="0"/>
              <w:suppressAutoHyphens/>
              <w:jc w:val="both"/>
            </w:pPr>
            <w:r w:rsidRPr="00421F30">
              <w:t>970 595,75</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4.</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tcPr>
          <w:p w:rsidR="00421F30" w:rsidRPr="00421F30" w:rsidRDefault="0069211D" w:rsidP="00A67F6C">
            <w:pPr>
              <w:keepLines/>
              <w:widowControl w:val="0"/>
              <w:suppressAutoHyphens/>
              <w:jc w:val="both"/>
            </w:pPr>
            <w:r w:rsidRPr="0069211D">
              <w:t xml:space="preserve">Облицовка должна быть полужесткая (эластичная), покрытие облицовки чулки </w:t>
            </w:r>
            <w:proofErr w:type="spellStart"/>
            <w:r w:rsidRPr="0069211D">
              <w:t>перлоновые</w:t>
            </w:r>
            <w:proofErr w:type="spellEnd"/>
            <w:r w:rsidRPr="0069211D">
              <w:t xml:space="preserve"> ортопедические; гильза должна быть индивидуальная, изготовленная по индивидуальному слепку с культи инвалида; постоянная приёмная гильза должна быть из литьевого слоистого пластика на основе акриловых смол; крепление протеза голени на инвалиде должно быть с использованием полимерного </w:t>
            </w:r>
            <w:proofErr w:type="spellStart"/>
            <w:r w:rsidRPr="0069211D">
              <w:t>гелевого</w:t>
            </w:r>
            <w:proofErr w:type="spellEnd"/>
            <w:r w:rsidRPr="0069211D">
              <w:t xml:space="preserve"> чехла и замка для полимерных чехлов; регулировочно-соединительные устройства должны соответствовать весу инвалида; стопа должна быть со средней степенью энергосбережения; поворотное устройство должно отсутствовать; для пациентов 2 - 3 уровня активности; тип протеза по назначению должен быть: постоянный</w:t>
            </w:r>
            <w:r>
              <w:t>.</w:t>
            </w:r>
          </w:p>
        </w:tc>
        <w:tc>
          <w:tcPr>
            <w:tcW w:w="297" w:type="pct"/>
          </w:tcPr>
          <w:p w:rsidR="00421F30" w:rsidRPr="00421F30" w:rsidRDefault="00421F30" w:rsidP="00A67F6C">
            <w:pPr>
              <w:keepLines/>
              <w:widowControl w:val="0"/>
              <w:suppressAutoHyphens/>
              <w:rPr>
                <w:bCs/>
              </w:rPr>
            </w:pPr>
            <w:r w:rsidRPr="00421F30">
              <w:rPr>
                <w:bCs/>
              </w:rPr>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192 102,23</w:t>
            </w:r>
          </w:p>
        </w:tc>
        <w:tc>
          <w:tcPr>
            <w:tcW w:w="515" w:type="pct"/>
          </w:tcPr>
          <w:p w:rsidR="00421F30" w:rsidRPr="00421F30" w:rsidRDefault="00421F30" w:rsidP="00A67F6C">
            <w:pPr>
              <w:keepLines/>
              <w:widowControl w:val="0"/>
              <w:suppressAutoHyphens/>
              <w:jc w:val="both"/>
            </w:pPr>
            <w:r w:rsidRPr="00421F30">
              <w:t xml:space="preserve">960 511,15 </w:t>
            </w:r>
          </w:p>
        </w:tc>
      </w:tr>
      <w:tr w:rsidR="00421F30" w:rsidRPr="00CD6EB0" w:rsidTr="00CD6EB0">
        <w:tc>
          <w:tcPr>
            <w:tcW w:w="223" w:type="pct"/>
          </w:tcPr>
          <w:p w:rsidR="00421F30" w:rsidRPr="00421F30" w:rsidRDefault="00421F30" w:rsidP="00A67F6C">
            <w:pPr>
              <w:keepLines/>
              <w:widowControl w:val="0"/>
              <w:suppressAutoHyphens/>
              <w:rPr>
                <w:lang w:eastAsia="en-US"/>
              </w:rPr>
            </w:pPr>
            <w:r w:rsidRPr="00421F30">
              <w:rPr>
                <w:lang w:eastAsia="en-US"/>
              </w:rPr>
              <w:t>5.</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69211D" w:rsidP="00A67F6C">
            <w:pPr>
              <w:keepLines/>
              <w:widowControl w:val="0"/>
              <w:suppressAutoHyphens/>
              <w:jc w:val="both"/>
            </w:pPr>
            <w:r w:rsidRPr="0069211D">
              <w:t xml:space="preserve">Облицовка должна быть мягкая полиуретановая модульная (поролон), покрытие облицовки чулки </w:t>
            </w:r>
            <w:proofErr w:type="spellStart"/>
            <w:r w:rsidRPr="0069211D">
              <w:t>перлоновые</w:t>
            </w:r>
            <w:proofErr w:type="spellEnd"/>
            <w:r w:rsidRPr="0069211D">
              <w:t xml:space="preserve"> ортопедические; гильза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w:t>
            </w:r>
            <w:r w:rsidRPr="0069211D">
              <w:lastRenderedPageBreak/>
              <w:t xml:space="preserve">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69211D">
              <w:t>гелевого</w:t>
            </w:r>
            <w:proofErr w:type="spellEnd"/>
            <w:r w:rsidRPr="0069211D">
              <w:t>; крепление протеза голени на инвалиде должно быть облегченное, с использованием наколенника; регулировочно-соединительные устройства должны соответствовать весу инвалида, стопа должна быть с высокой степенью энергосбережения; поворотное устройство должно отсутствовать; для пациентов 3-4 уровня активности; тип протеза по назначению должен быть: постоянный</w:t>
            </w:r>
            <w:r>
              <w:t>.</w:t>
            </w:r>
          </w:p>
        </w:tc>
        <w:tc>
          <w:tcPr>
            <w:tcW w:w="297" w:type="pct"/>
          </w:tcPr>
          <w:p w:rsidR="00421F30" w:rsidRPr="00421F30" w:rsidRDefault="00421F30" w:rsidP="00A67F6C">
            <w:pPr>
              <w:keepLines/>
              <w:widowControl w:val="0"/>
              <w:suppressAutoHyphens/>
              <w:jc w:val="both"/>
            </w:pPr>
            <w:r w:rsidRPr="00421F30">
              <w:lastRenderedPageBreak/>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234 509,95</w:t>
            </w:r>
          </w:p>
        </w:tc>
        <w:tc>
          <w:tcPr>
            <w:tcW w:w="515" w:type="pct"/>
          </w:tcPr>
          <w:p w:rsidR="00421F30" w:rsidRPr="00421F30" w:rsidRDefault="00421F30" w:rsidP="00A67F6C">
            <w:pPr>
              <w:keepLines/>
              <w:widowControl w:val="0"/>
              <w:suppressAutoHyphens/>
              <w:jc w:val="both"/>
            </w:pPr>
            <w:r w:rsidRPr="00421F30">
              <w:t>1 172 549,75</w:t>
            </w:r>
          </w:p>
        </w:tc>
      </w:tr>
      <w:tr w:rsidR="00421F30" w:rsidRPr="00CD6EB0" w:rsidTr="00CD6EB0">
        <w:tc>
          <w:tcPr>
            <w:tcW w:w="223" w:type="pct"/>
          </w:tcPr>
          <w:p w:rsidR="00421F30" w:rsidRPr="00421F30" w:rsidRDefault="00B92AB4" w:rsidP="00A67F6C">
            <w:pPr>
              <w:keepLines/>
              <w:widowControl w:val="0"/>
              <w:suppressAutoHyphens/>
              <w:rPr>
                <w:lang w:eastAsia="en-US"/>
              </w:rPr>
            </w:pPr>
            <w:r>
              <w:rPr>
                <w:lang w:eastAsia="en-US"/>
              </w:rPr>
              <w:t>6</w:t>
            </w:r>
            <w:r w:rsidR="00421F30" w:rsidRPr="00421F30">
              <w:rPr>
                <w:lang w:eastAsia="en-US"/>
              </w:rPr>
              <w:t>.</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vAlign w:val="center"/>
          </w:tcPr>
          <w:p w:rsidR="00421F30" w:rsidRPr="00421F30" w:rsidRDefault="00B92AB4" w:rsidP="00A67F6C">
            <w:pPr>
              <w:keepLines/>
              <w:widowControl w:val="0"/>
              <w:suppressAutoHyphens/>
              <w:jc w:val="both"/>
            </w:pPr>
            <w:r w:rsidRPr="00B92AB4">
              <w:t xml:space="preserve">Облицовка должна быть мягкая полиуретановая модульная (поролон), покрытие облицовки чулки </w:t>
            </w:r>
            <w:proofErr w:type="spellStart"/>
            <w:r w:rsidRPr="00B92AB4">
              <w:t>перлоновые</w:t>
            </w:r>
            <w:proofErr w:type="spellEnd"/>
            <w:r w:rsidRPr="00B92AB4">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- 1; постоянная гильза должна быть из литьевого слоистого пластика на основе акриловых смол; вкладная гильза должна быть из вспененных материалов, без чехла полимерного </w:t>
            </w:r>
            <w:proofErr w:type="spellStart"/>
            <w:r w:rsidRPr="00B92AB4">
              <w:t>гелевого</w:t>
            </w:r>
            <w:proofErr w:type="spellEnd"/>
            <w:r w:rsidRPr="00B92AB4">
              <w:t xml:space="preserve">; крепление протеза голени на инвалиде должно быть с использованием наколенника; регулировочно-соединительные устройства должны соответствовать весу инвалида; стопа должна быть с повышенной упругостью носочной части; для пациентов 1-2 уровня активности; тип </w:t>
            </w:r>
            <w:r w:rsidRPr="00B92AB4">
              <w:lastRenderedPageBreak/>
              <w:t>протеза по назначению должен быть: постоянный.</w:t>
            </w:r>
          </w:p>
        </w:tc>
        <w:tc>
          <w:tcPr>
            <w:tcW w:w="297" w:type="pct"/>
          </w:tcPr>
          <w:p w:rsidR="00421F30" w:rsidRPr="00421F30" w:rsidRDefault="00421F30" w:rsidP="00A67F6C">
            <w:pPr>
              <w:keepLines/>
              <w:widowControl w:val="0"/>
              <w:suppressAutoHyphens/>
              <w:jc w:val="both"/>
            </w:pPr>
            <w:r w:rsidRPr="00421F30">
              <w:lastRenderedPageBreak/>
              <w:t>5</w:t>
            </w:r>
          </w:p>
        </w:tc>
        <w:tc>
          <w:tcPr>
            <w:tcW w:w="335" w:type="pct"/>
          </w:tcPr>
          <w:p w:rsidR="00421F30" w:rsidRPr="00421F30" w:rsidRDefault="00421F30" w:rsidP="00A67F6C">
            <w:pPr>
              <w:keepLines/>
              <w:widowControl w:val="0"/>
              <w:suppressAutoHyphens/>
              <w:jc w:val="both"/>
              <w:rPr>
                <w:b/>
              </w:rPr>
            </w:pPr>
            <w:r w:rsidRPr="00421F30">
              <w:t>штука</w:t>
            </w:r>
          </w:p>
        </w:tc>
        <w:tc>
          <w:tcPr>
            <w:tcW w:w="449" w:type="pct"/>
          </w:tcPr>
          <w:p w:rsidR="00421F30" w:rsidRPr="00421F30" w:rsidRDefault="00421F30" w:rsidP="00A67F6C">
            <w:pPr>
              <w:keepLines/>
              <w:widowControl w:val="0"/>
              <w:suppressAutoHyphens/>
              <w:jc w:val="both"/>
            </w:pPr>
            <w:r w:rsidRPr="00421F30">
              <w:t>128 144,02</w:t>
            </w:r>
          </w:p>
        </w:tc>
        <w:tc>
          <w:tcPr>
            <w:tcW w:w="515" w:type="pct"/>
          </w:tcPr>
          <w:p w:rsidR="00421F30" w:rsidRPr="00421F30" w:rsidRDefault="00421F30" w:rsidP="00A67F6C">
            <w:pPr>
              <w:keepLines/>
              <w:widowControl w:val="0"/>
              <w:suppressAutoHyphens/>
              <w:jc w:val="both"/>
            </w:pPr>
            <w:r w:rsidRPr="00421F30">
              <w:t>640 720,10</w:t>
            </w:r>
          </w:p>
        </w:tc>
      </w:tr>
      <w:tr w:rsidR="00421F30" w:rsidRPr="00CD6EB0" w:rsidTr="00CD6EB0">
        <w:tc>
          <w:tcPr>
            <w:tcW w:w="223" w:type="pct"/>
          </w:tcPr>
          <w:p w:rsidR="00421F30" w:rsidRPr="00421F30" w:rsidRDefault="00CC7A3F" w:rsidP="00A67F6C">
            <w:pPr>
              <w:keepLines/>
              <w:widowControl w:val="0"/>
              <w:suppressAutoHyphens/>
              <w:rPr>
                <w:lang w:eastAsia="en-US"/>
              </w:rPr>
            </w:pPr>
            <w:r>
              <w:rPr>
                <w:lang w:eastAsia="en-US"/>
              </w:rPr>
              <w:t>7</w:t>
            </w:r>
            <w:bookmarkStart w:id="0" w:name="_GoBack"/>
            <w:bookmarkEnd w:id="0"/>
            <w:r w:rsidR="00421F30" w:rsidRPr="00421F30">
              <w:rPr>
                <w:lang w:eastAsia="en-US"/>
              </w:rPr>
              <w:t>.</w:t>
            </w:r>
          </w:p>
        </w:tc>
        <w:tc>
          <w:tcPr>
            <w:tcW w:w="715" w:type="pct"/>
          </w:tcPr>
          <w:p w:rsidR="00421F30" w:rsidRPr="00421F30" w:rsidRDefault="00421F30" w:rsidP="00A67F6C">
            <w:pPr>
              <w:keepLines/>
              <w:widowControl w:val="0"/>
              <w:suppressAutoHyphens/>
              <w:jc w:val="both"/>
            </w:pPr>
            <w:r w:rsidRPr="00421F30">
              <w:t>Протез голени модульный, в том числе при недоразвитии</w:t>
            </w:r>
          </w:p>
        </w:tc>
        <w:tc>
          <w:tcPr>
            <w:tcW w:w="942" w:type="pct"/>
          </w:tcPr>
          <w:p w:rsidR="00421F30" w:rsidRPr="00421F30" w:rsidRDefault="00421F30" w:rsidP="00A67F6C">
            <w:pPr>
              <w:keepLines/>
              <w:widowControl w:val="0"/>
              <w:suppressAutoHyphens/>
              <w:jc w:val="center"/>
            </w:pPr>
            <w:r w:rsidRPr="00421F30">
              <w:t>Протез голени модульный, в том числе при недоразвитии</w:t>
            </w:r>
          </w:p>
        </w:tc>
        <w:tc>
          <w:tcPr>
            <w:tcW w:w="1524" w:type="pct"/>
          </w:tcPr>
          <w:p w:rsidR="00421F30" w:rsidRPr="00421F30" w:rsidRDefault="00B92AB4" w:rsidP="00A67F6C">
            <w:pPr>
              <w:keepLines/>
              <w:widowControl w:val="0"/>
              <w:suppressAutoHyphens/>
              <w:jc w:val="both"/>
            </w:pPr>
            <w:r w:rsidRPr="00B92AB4">
              <w:t xml:space="preserve">Облицовка должна быть мягкая полиуретановая (поролон), покрытие облицовки чулки </w:t>
            </w:r>
            <w:proofErr w:type="spellStart"/>
            <w:r w:rsidRPr="00B92AB4">
              <w:t>перлоновые</w:t>
            </w:r>
            <w:proofErr w:type="spellEnd"/>
            <w:r w:rsidRPr="00B92AB4">
              <w:t xml:space="preserve"> ортопедические; гильза должна быть индивидуальная изготовлена по индивидуальному слепку с культи инвалида; количество приемных (пробных) гильз должно быть- 1; постоянная гильза должна быть  из литьевого слоистого пластика на основе акриловых смол; без вкладной гильзы; крепление протеза голени на инвалиде должно быть с использованием полимерного </w:t>
            </w:r>
            <w:proofErr w:type="spellStart"/>
            <w:r w:rsidRPr="00B92AB4">
              <w:t>гелевого</w:t>
            </w:r>
            <w:proofErr w:type="spellEnd"/>
            <w:r w:rsidRPr="00B92AB4">
              <w:t xml:space="preserve"> чехла и замка для полимерных чехлов; регулировочно-соединительные устройства должны соответствовать весу инвалида; стопа должна быть с высокой степенью энергосбережения; для пациентов 3 - 4 уровня активности; тип протеза по назначению должен быть : постоянный</w:t>
            </w:r>
          </w:p>
        </w:tc>
        <w:tc>
          <w:tcPr>
            <w:tcW w:w="297" w:type="pct"/>
          </w:tcPr>
          <w:p w:rsidR="00421F30" w:rsidRPr="00421F30" w:rsidRDefault="00421F30" w:rsidP="00A67F6C">
            <w:pPr>
              <w:keepLines/>
              <w:widowControl w:val="0"/>
              <w:suppressAutoHyphens/>
              <w:jc w:val="both"/>
            </w:pPr>
            <w:r w:rsidRPr="00421F30">
              <w:t>5</w:t>
            </w:r>
          </w:p>
        </w:tc>
        <w:tc>
          <w:tcPr>
            <w:tcW w:w="335" w:type="pct"/>
          </w:tcPr>
          <w:p w:rsidR="00421F30" w:rsidRPr="00421F30" w:rsidRDefault="00421F30" w:rsidP="00A67F6C">
            <w:pPr>
              <w:keepLines/>
              <w:widowControl w:val="0"/>
              <w:suppressAutoHyphens/>
              <w:jc w:val="both"/>
            </w:pPr>
            <w:r w:rsidRPr="00421F30">
              <w:t>штука</w:t>
            </w:r>
          </w:p>
        </w:tc>
        <w:tc>
          <w:tcPr>
            <w:tcW w:w="449" w:type="pct"/>
          </w:tcPr>
          <w:p w:rsidR="00421F30" w:rsidRPr="00421F30" w:rsidRDefault="00421F30" w:rsidP="00A67F6C">
            <w:pPr>
              <w:keepLines/>
              <w:widowControl w:val="0"/>
              <w:suppressAutoHyphens/>
              <w:jc w:val="both"/>
            </w:pPr>
            <w:r w:rsidRPr="00421F30">
              <w:t>342 893,89</w:t>
            </w:r>
          </w:p>
        </w:tc>
        <w:tc>
          <w:tcPr>
            <w:tcW w:w="515" w:type="pct"/>
          </w:tcPr>
          <w:p w:rsidR="00421F30" w:rsidRPr="00421F30" w:rsidRDefault="00421F30" w:rsidP="00A67F6C">
            <w:pPr>
              <w:keepLines/>
              <w:widowControl w:val="0"/>
              <w:suppressAutoHyphens/>
              <w:jc w:val="both"/>
            </w:pPr>
            <w:r w:rsidRPr="00421F30">
              <w:t>1 714 469,45</w:t>
            </w:r>
          </w:p>
        </w:tc>
      </w:tr>
      <w:tr w:rsidR="00421F30" w:rsidRPr="00421F30" w:rsidTr="00CD6EB0">
        <w:tc>
          <w:tcPr>
            <w:tcW w:w="3404" w:type="pct"/>
            <w:gridSpan w:val="4"/>
          </w:tcPr>
          <w:p w:rsidR="00421F30" w:rsidRPr="00421F30" w:rsidRDefault="00421F30" w:rsidP="00A67F6C">
            <w:pPr>
              <w:keepLines/>
              <w:widowControl w:val="0"/>
              <w:suppressAutoHyphens/>
              <w:rPr>
                <w:b/>
              </w:rPr>
            </w:pPr>
            <w:r w:rsidRPr="00421F30">
              <w:rPr>
                <w:b/>
              </w:rPr>
              <w:t>ИТОГО:</w:t>
            </w:r>
            <w:r w:rsidRPr="00421F30">
              <w:rPr>
                <w:b/>
                <w:bCs/>
                <w:lang w:eastAsia="ru-RU"/>
              </w:rPr>
              <w:t xml:space="preserve"> </w:t>
            </w:r>
          </w:p>
        </w:tc>
        <w:tc>
          <w:tcPr>
            <w:tcW w:w="297" w:type="pct"/>
          </w:tcPr>
          <w:p w:rsidR="00421F30" w:rsidRPr="00421F30" w:rsidRDefault="00B92AB4" w:rsidP="00A67F6C">
            <w:pPr>
              <w:keepLines/>
              <w:widowControl w:val="0"/>
              <w:suppressAutoHyphens/>
              <w:rPr>
                <w:b/>
              </w:rPr>
            </w:pPr>
            <w:r>
              <w:rPr>
                <w:b/>
                <w:bCs/>
              </w:rPr>
              <w:t>35</w:t>
            </w:r>
          </w:p>
        </w:tc>
        <w:tc>
          <w:tcPr>
            <w:tcW w:w="335" w:type="pct"/>
          </w:tcPr>
          <w:p w:rsidR="00421F30" w:rsidRPr="00421F30" w:rsidRDefault="00421F30" w:rsidP="00A67F6C">
            <w:pPr>
              <w:keepLines/>
              <w:widowControl w:val="0"/>
              <w:suppressAutoHyphens/>
              <w:autoSpaceDE w:val="0"/>
              <w:autoSpaceDN w:val="0"/>
              <w:rPr>
                <w:b/>
                <w:bCs/>
                <w:lang w:eastAsia="ru-RU"/>
              </w:rPr>
            </w:pPr>
          </w:p>
        </w:tc>
        <w:tc>
          <w:tcPr>
            <w:tcW w:w="449" w:type="pct"/>
          </w:tcPr>
          <w:p w:rsidR="00421F30" w:rsidRPr="00421F30" w:rsidRDefault="00421F30" w:rsidP="00A67F6C">
            <w:pPr>
              <w:keepLines/>
              <w:widowControl w:val="0"/>
              <w:suppressAutoHyphens/>
              <w:autoSpaceDE w:val="0"/>
              <w:autoSpaceDN w:val="0"/>
              <w:rPr>
                <w:b/>
                <w:bCs/>
                <w:u w:val="single"/>
                <w:lang w:eastAsia="ru-RU"/>
              </w:rPr>
            </w:pPr>
          </w:p>
        </w:tc>
        <w:tc>
          <w:tcPr>
            <w:tcW w:w="515" w:type="pct"/>
          </w:tcPr>
          <w:p w:rsidR="00421F30" w:rsidRPr="00421F30" w:rsidRDefault="00B92AB4" w:rsidP="00A67F6C">
            <w:pPr>
              <w:keepLines/>
              <w:widowControl w:val="0"/>
              <w:suppressAutoHyphens/>
              <w:autoSpaceDE w:val="0"/>
              <w:autoSpaceDN w:val="0"/>
              <w:rPr>
                <w:b/>
                <w:bCs/>
                <w:lang w:eastAsia="ru-RU"/>
              </w:rPr>
            </w:pPr>
            <w:r w:rsidRPr="00B92AB4">
              <w:rPr>
                <w:b/>
                <w:bCs/>
                <w:lang w:eastAsia="ru-RU"/>
              </w:rPr>
              <w:t>7 083 596,10</w:t>
            </w:r>
          </w:p>
        </w:tc>
      </w:tr>
    </w:tbl>
    <w:p w:rsidR="00421F30" w:rsidRPr="00421F30" w:rsidRDefault="00421F30" w:rsidP="00A67F6C">
      <w:pPr>
        <w:keepLines/>
        <w:widowControl w:val="0"/>
        <w:tabs>
          <w:tab w:val="left" w:pos="5865"/>
        </w:tabs>
        <w:suppressAutoHyphens/>
      </w:pPr>
    </w:p>
    <w:p w:rsidR="002F186D" w:rsidRDefault="002F186D" w:rsidP="00A67F6C">
      <w:pPr>
        <w:keepLines/>
        <w:widowControl w:val="0"/>
        <w:suppressAutoHyphens/>
        <w:ind w:firstLine="567"/>
        <w:jc w:val="both"/>
      </w:pPr>
      <w:r>
        <w:t xml:space="preserve">В соответствии с приказом Минтруда России от 05.03.2021 № 107н «Об утверждении сроков пользования техническими средствами реабилитации, протезами и </w:t>
      </w:r>
      <w:proofErr w:type="spellStart"/>
      <w:r>
        <w:t>протезно</w:t>
      </w:r>
      <w:proofErr w:type="spellEnd"/>
      <w:r>
        <w:t xml:space="preserve"> – ортопедическими изделиями до их замены» срок пользования техническими средствами реабилитации, протезом и протезно-ортопедическим изделием (далее ТСР) исчисляется с даты предоставления его инвалиду.</w:t>
      </w:r>
    </w:p>
    <w:p w:rsidR="002F186D" w:rsidRDefault="002F186D" w:rsidP="00A67F6C">
      <w:pPr>
        <w:keepLines/>
        <w:widowControl w:val="0"/>
        <w:suppressAutoHyphens/>
        <w:ind w:firstLine="567"/>
        <w:jc w:val="both"/>
      </w:pPr>
      <w:r>
        <w:rPr>
          <w:b/>
        </w:rPr>
        <w:t>Условия и сроки (периоды) выполнения работ</w:t>
      </w:r>
      <w:r>
        <w:t xml:space="preserve">: </w:t>
      </w:r>
      <w:r w:rsidR="000A633A">
        <w:t>с</w:t>
      </w:r>
      <w:r>
        <w:t>рок изготовления протезно-ортопедического изделия должен быть не более 60 календарных дней со дня обращения инвалида с направлением Заказчика. Срок завершения работ должен быть не позднее 10.11.2023 года.</w:t>
      </w:r>
    </w:p>
    <w:p w:rsidR="002F186D" w:rsidRDefault="002F186D" w:rsidP="00A67F6C">
      <w:pPr>
        <w:keepLines/>
        <w:widowControl w:val="0"/>
        <w:suppressAutoHyphens/>
        <w:ind w:firstLine="567"/>
        <w:jc w:val="both"/>
      </w:pPr>
      <w:r>
        <w:rPr>
          <w:b/>
        </w:rPr>
        <w:t>Место выполнения работ:</w:t>
      </w:r>
      <w:r>
        <w:t xml:space="preserve"> Российская Федерация, Краснодарский край, работы выполняются по месту протезирования, </w:t>
      </w:r>
      <w:proofErr w:type="spellStart"/>
      <w:r>
        <w:t>протезно</w:t>
      </w:r>
      <w:proofErr w:type="spellEnd"/>
      <w:r>
        <w:t xml:space="preserve"> – ортопедические изделия выдаются непосредственно Получателям. Инвалиды I-ой группы обслуживаются на дому.</w:t>
      </w:r>
    </w:p>
    <w:p w:rsidR="002F186D" w:rsidRDefault="002F186D" w:rsidP="00A67F6C">
      <w:pPr>
        <w:keepLines/>
        <w:widowControl w:val="0"/>
        <w:shd w:val="clear" w:color="auto" w:fill="FFFFFF"/>
        <w:suppressAutoHyphens/>
        <w:ind w:firstLine="567"/>
        <w:jc w:val="both"/>
      </w:pPr>
      <w:r>
        <w:rPr>
          <w:b/>
          <w:color w:val="000000"/>
        </w:rPr>
        <w:t>Организация пунктов выдачи:</w:t>
      </w:r>
      <w:r>
        <w:rPr>
          <w:color w:val="000000"/>
        </w:rPr>
        <w:t xml:space="preserve"> </w:t>
      </w:r>
      <w:r w:rsidR="000A633A">
        <w:rPr>
          <w:color w:val="000000"/>
        </w:rPr>
        <w:t>д</w:t>
      </w:r>
      <w:r>
        <w:rPr>
          <w:color w:val="000000"/>
        </w:rPr>
        <w:t>оступное для Получателей</w:t>
      </w:r>
      <w:r>
        <w:t xml:space="preserve"> помещение под размещение пункта (пунктов) приема в соответствии со статьей 15 Федерального закона от 24.11.1995 №181 «О социальной защите инвалидов в Российской Федерации».</w:t>
      </w:r>
    </w:p>
    <w:p w:rsidR="002F186D" w:rsidRDefault="002F186D" w:rsidP="00A67F6C">
      <w:pPr>
        <w:keepLines/>
        <w:widowControl w:val="0"/>
        <w:shd w:val="clear" w:color="auto" w:fill="FFFFFF"/>
        <w:suppressAutoHyphens/>
        <w:ind w:firstLine="567"/>
        <w:jc w:val="both"/>
      </w:pPr>
      <w:r>
        <w:lastRenderedPageBreak/>
        <w:t xml:space="preserve">Вход в каждый пункт приема </w:t>
      </w:r>
      <w:r w:rsidR="000A633A">
        <w:t xml:space="preserve">должен быть </w:t>
      </w:r>
      <w:r>
        <w:t xml:space="preserve">обозначен надписью, позволяющей четко определить назначение и место нахождения указанного пункта приема. Проход в пункт (пункты) приема и передвижение по ним беспрепятственны для Получателей, оборудованы санитарно-бытовыми помещениями, оборудованы пандусами. Свод правил. Доступность зданий и сооружений для маломобильных групп населения. Свод правил. Административные и бытовые здания. Актуализированная редакция </w:t>
      </w:r>
      <w:proofErr w:type="spellStart"/>
      <w:r>
        <w:t>снип</w:t>
      </w:r>
      <w:proofErr w:type="spellEnd"/>
      <w:r>
        <w:t xml:space="preserve"> 2.09.04-87, утвержденные Приказом </w:t>
      </w:r>
      <w:proofErr w:type="spellStart"/>
      <w:r>
        <w:t>Минрегиона</w:t>
      </w:r>
      <w:proofErr w:type="spellEnd"/>
      <w:r>
        <w:t xml:space="preserve"> РФ от 27.12.2010 N 782. Исполнителем обеспечена возможность самостоятельного передвижения Получателей по территории пункта (пунктов) приема, в том числе с помощью его работников, а также сменного кресла-коляски.</w:t>
      </w:r>
    </w:p>
    <w:p w:rsidR="002F186D" w:rsidRDefault="002F186D" w:rsidP="00A67F6C">
      <w:pPr>
        <w:keepLines/>
        <w:widowControl w:val="0"/>
        <w:shd w:val="clear" w:color="auto" w:fill="FFFFFF"/>
        <w:suppressAutoHyphens/>
        <w:ind w:firstLine="567"/>
        <w:jc w:val="both"/>
      </w:pPr>
      <w:r>
        <w:t xml:space="preserve">Зона ожидания Получателей </w:t>
      </w:r>
      <w:r w:rsidR="000A633A">
        <w:t xml:space="preserve">должна быть </w:t>
      </w:r>
      <w:r>
        <w:t xml:space="preserve">оборудована мебелью для ожидания в сидячем положении. Зона обслуживания не </w:t>
      </w:r>
      <w:r w:rsidR="00A67F6C">
        <w:t xml:space="preserve">должна </w:t>
      </w:r>
      <w:r>
        <w:t>располага</w:t>
      </w:r>
      <w:r w:rsidR="00A67F6C">
        <w:t xml:space="preserve">ться </w:t>
      </w:r>
      <w:r>
        <w:t>в зоне ожидания.</w:t>
      </w:r>
    </w:p>
    <w:p w:rsidR="002F186D" w:rsidRDefault="002F186D" w:rsidP="00A67F6C">
      <w:pPr>
        <w:keepLines/>
        <w:widowControl w:val="0"/>
        <w:shd w:val="clear" w:color="auto" w:fill="FFFFFF"/>
        <w:suppressAutoHyphens/>
        <w:autoSpaceDE w:val="0"/>
        <w:autoSpaceDN w:val="0"/>
        <w:adjustRightInd w:val="0"/>
        <w:ind w:firstLine="567"/>
        <w:jc w:val="both"/>
      </w:pPr>
      <w:r>
        <w:t xml:space="preserve">Изделия </w:t>
      </w:r>
      <w:r w:rsidR="00B80D83">
        <w:t xml:space="preserve">должны </w:t>
      </w:r>
      <w:r>
        <w:t>наход</w:t>
      </w:r>
      <w:r w:rsidR="00B80D83">
        <w:t>и</w:t>
      </w:r>
      <w:r>
        <w:t>т</w:t>
      </w:r>
      <w:r w:rsidR="00D44477">
        <w:t>ь</w:t>
      </w:r>
      <w:r>
        <w:t xml:space="preserve">ся на складе пункта (пунктов) приема, обеспечивающем его надлежащее хранение. Изделия не </w:t>
      </w:r>
      <w:r w:rsidR="00D44477">
        <w:t xml:space="preserve">должны </w:t>
      </w:r>
      <w:r>
        <w:t>наход</w:t>
      </w:r>
      <w:r w:rsidR="00D44477">
        <w:t>и</w:t>
      </w:r>
      <w:r>
        <w:t>т</w:t>
      </w:r>
      <w:r w:rsidR="00D44477">
        <w:t>ь</w:t>
      </w:r>
      <w:r>
        <w:t>ся в зоне ожидания, в зоне обслуживания, в проходах, на путях эвакуации и других помещениях, не предназначенных для хранения.</w:t>
      </w:r>
    </w:p>
    <w:p w:rsidR="002F186D" w:rsidRDefault="002F186D" w:rsidP="00A67F6C">
      <w:pPr>
        <w:keepLines/>
        <w:widowControl w:val="0"/>
        <w:shd w:val="clear" w:color="auto" w:fill="FFFFFF"/>
        <w:suppressAutoHyphens/>
        <w:ind w:firstLine="567"/>
        <w:jc w:val="both"/>
        <w:rPr>
          <w:rFonts w:eastAsia="Calibri"/>
        </w:rPr>
      </w:pPr>
      <w:r>
        <w:rPr>
          <w:rFonts w:eastAsia="Calibri"/>
        </w:rPr>
        <w:t xml:space="preserve">Количество пунктов приема Получателей, организованных Исполнителем на территории Краснодарского края </w:t>
      </w:r>
      <w:r w:rsidR="007C3245">
        <w:rPr>
          <w:rFonts w:eastAsia="Calibri"/>
        </w:rPr>
        <w:t>–</w:t>
      </w:r>
      <w:r>
        <w:rPr>
          <w:rFonts w:eastAsia="Calibri"/>
        </w:rPr>
        <w:t xml:space="preserve"> </w:t>
      </w:r>
      <w:r w:rsidR="007C3245">
        <w:rPr>
          <w:rFonts w:eastAsia="Calibri"/>
        </w:rPr>
        <w:t xml:space="preserve">не менее </w:t>
      </w:r>
      <w:r>
        <w:rPr>
          <w:rFonts w:eastAsia="Calibri"/>
        </w:rPr>
        <w:t>2, в том числе в г. Краснодар, г. Сочи.</w:t>
      </w:r>
    </w:p>
    <w:p w:rsidR="002F186D" w:rsidRDefault="002F186D" w:rsidP="00A67F6C">
      <w:pPr>
        <w:keepLines/>
        <w:widowControl w:val="0"/>
        <w:suppressAutoHyphens/>
        <w:autoSpaceDE w:val="0"/>
        <w:autoSpaceDN w:val="0"/>
        <w:adjustRightInd w:val="0"/>
        <w:ind w:firstLine="567"/>
        <w:jc w:val="both"/>
        <w:rPr>
          <w:rFonts w:eastAsia="Calibri"/>
        </w:rPr>
      </w:pPr>
      <w:r>
        <w:rPr>
          <w:b/>
        </w:rPr>
        <w:t>Требования к качеству работ</w:t>
      </w:r>
      <w:r>
        <w:t xml:space="preserve">: протезы нижних конечности </w:t>
      </w:r>
      <w:r w:rsidR="00A029A4">
        <w:t xml:space="preserve">должны </w:t>
      </w:r>
      <w:r>
        <w:t>соответств</w:t>
      </w:r>
      <w:r w:rsidR="00A029A4">
        <w:t>овать</w:t>
      </w:r>
      <w:r>
        <w:t xml:space="preserve"> требованиям Национального стандарта РФ ГОСТ Р </w:t>
      </w:r>
      <w:r>
        <w:rPr>
          <w:rFonts w:eastAsia="Calibri"/>
          <w:lang w:eastAsia="en-US"/>
        </w:rPr>
        <w:t xml:space="preserve">51632-2021 </w:t>
      </w:r>
      <w:r>
        <w:t>«Технические средства реабилитации людей с ограничениями жизнедеятельности. Общие технические требования и методы испытаний»</w:t>
      </w:r>
      <w:r w:rsidR="00734FC9">
        <w:t>,</w:t>
      </w:r>
      <w:r>
        <w:t xml:space="preserve"> Национального стандарта РФ ГОСТ Р 52877-2021 «Услуги по медицинской реабилитации инвалидов. Основные понятия»</w:t>
      </w:r>
      <w:r w:rsidR="00B70D8D">
        <w:t>,</w:t>
      </w:r>
      <w:r>
        <w:t xml:space="preserve"> Национальног</w:t>
      </w:r>
      <w:r w:rsidR="00C93EFD">
        <w:t>о стандарта РФ ГОСТ Р 51819-2022</w:t>
      </w:r>
      <w:r>
        <w:t xml:space="preserve"> «Протезирование и </w:t>
      </w:r>
      <w:proofErr w:type="spellStart"/>
      <w:r>
        <w:t>ортезирование</w:t>
      </w:r>
      <w:proofErr w:type="spellEnd"/>
      <w:r>
        <w:t xml:space="preserve"> верхних и нижних конечностей. Термины и определения».</w:t>
      </w:r>
    </w:p>
    <w:p w:rsidR="002F186D" w:rsidRDefault="002F186D" w:rsidP="00A67F6C">
      <w:pPr>
        <w:keepLines/>
        <w:widowControl w:val="0"/>
        <w:shd w:val="clear" w:color="auto" w:fill="FFFFFF"/>
        <w:suppressAutoHyphens/>
        <w:ind w:firstLine="567"/>
        <w:jc w:val="both"/>
      </w:pPr>
      <w:r>
        <w:t>Протезы</w:t>
      </w:r>
      <w:r w:rsidR="00794C2F">
        <w:t xml:space="preserve"> должны</w:t>
      </w:r>
      <w:r>
        <w:t xml:space="preserve"> соответств</w:t>
      </w:r>
      <w:r w:rsidR="00794C2F">
        <w:t>овать</w:t>
      </w:r>
      <w:r>
        <w:t xml:space="preserve"> требованиям Федерального закона от 21.11.2011 года № 323-ФЗ «Об основах охраны здоровья граждан в Российской Федерации».</w:t>
      </w:r>
    </w:p>
    <w:p w:rsidR="002F186D" w:rsidRDefault="002F186D" w:rsidP="00A67F6C">
      <w:pPr>
        <w:keepLines/>
        <w:widowControl w:val="0"/>
        <w:suppressAutoHyphens/>
        <w:ind w:firstLine="567"/>
        <w:jc w:val="both"/>
      </w:pPr>
      <w:r>
        <w:rPr>
          <w:b/>
        </w:rPr>
        <w:t>Требования к техническим и функциональным характеристикам работ</w:t>
      </w:r>
      <w:r>
        <w:t xml:space="preserve">: </w:t>
      </w:r>
      <w:r w:rsidR="00AB2382">
        <w:t>в</w:t>
      </w:r>
      <w:r>
        <w:t xml:space="preserve">ыполняемые работы по обеспечению протезами нижних конечностей </w:t>
      </w:r>
      <w:r w:rsidR="00AB2382">
        <w:t xml:space="preserve">должны </w:t>
      </w:r>
      <w:r>
        <w:t>содержат</w:t>
      </w:r>
      <w:r w:rsidR="00AB2382">
        <w:t>ь</w:t>
      </w:r>
      <w:r>
        <w:t xml:space="preserve">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w:t>
      </w:r>
    </w:p>
    <w:p w:rsidR="002F186D" w:rsidRDefault="002F186D" w:rsidP="00A67F6C">
      <w:pPr>
        <w:keepLines/>
        <w:widowControl w:val="0"/>
        <w:suppressAutoHyphens/>
        <w:ind w:firstLine="567"/>
        <w:jc w:val="both"/>
      </w:pPr>
      <w:r>
        <w:rPr>
          <w:b/>
        </w:rPr>
        <w:t>Работы по проведению комплекса медицинских, технических и организационных мероприятий</w:t>
      </w:r>
      <w:r w:rsidR="00657B36">
        <w:t xml:space="preserve"> должны быть</w:t>
      </w:r>
      <w:r>
        <w:t xml:space="preserve"> направлены на частичное восстановление опорно-двигательных функций и устранение косметических дефектов нижних конечностей пациента с помощью протеза нижней конечности.</w:t>
      </w:r>
    </w:p>
    <w:p w:rsidR="002F186D" w:rsidRDefault="002F186D" w:rsidP="00A67F6C">
      <w:pPr>
        <w:keepLines/>
        <w:widowControl w:val="0"/>
        <w:suppressAutoHyphens/>
        <w:ind w:firstLine="567"/>
        <w:jc w:val="both"/>
      </w:pPr>
      <w:r>
        <w:rPr>
          <w:b/>
        </w:rPr>
        <w:t>Требования к результатам работ:</w:t>
      </w:r>
      <w:r>
        <w:t xml:space="preserve"> работы по обеспечению протезами </w:t>
      </w:r>
      <w:r w:rsidR="00657B36">
        <w:t xml:space="preserve">будут </w:t>
      </w:r>
      <w:r>
        <w:t>счита</w:t>
      </w:r>
      <w:r w:rsidR="00657B36">
        <w:t>ться</w:t>
      </w:r>
      <w:r>
        <w:t xml:space="preserve"> эффективно исполнены, 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w:t>
      </w:r>
    </w:p>
    <w:p w:rsidR="002F186D" w:rsidRDefault="002F186D" w:rsidP="00A67F6C">
      <w:pPr>
        <w:keepLines/>
        <w:widowControl w:val="0"/>
        <w:suppressAutoHyphens/>
        <w:autoSpaceDE w:val="0"/>
        <w:autoSpaceDN w:val="0"/>
        <w:adjustRightInd w:val="0"/>
        <w:ind w:firstLine="567"/>
        <w:jc w:val="both"/>
      </w:pPr>
      <w:r>
        <w:t xml:space="preserve">В соответствии с ГОСТ Р </w:t>
      </w:r>
      <w:r>
        <w:rPr>
          <w:rFonts w:eastAsia="Calibri"/>
          <w:lang w:eastAsia="en-US"/>
        </w:rPr>
        <w:t xml:space="preserve">53870-2021 </w:t>
      </w:r>
      <w:r>
        <w:t xml:space="preserve">Национальный стандарт Российской Федерации «Услуги по протезированию нижних конечностей. Состав, содержание и порядок предоставления услуг» Исполнитель </w:t>
      </w:r>
      <w:r w:rsidR="004802DD">
        <w:t xml:space="preserve">должен </w:t>
      </w:r>
      <w:r>
        <w:t>осуществля</w:t>
      </w:r>
      <w:r w:rsidR="004802DD">
        <w:t>ть</w:t>
      </w:r>
      <w:r>
        <w:t xml:space="preserve"> обучение пациента ходьбе и пользованию ПОИ. Работы по обеспечению протезами </w:t>
      </w:r>
      <w:r w:rsidR="00900A7A">
        <w:t xml:space="preserve">должны </w:t>
      </w:r>
      <w:r>
        <w:t>выполня</w:t>
      </w:r>
      <w:r w:rsidR="00900A7A">
        <w:t>ть</w:t>
      </w:r>
      <w:r>
        <w:t>ся с надлежащим качеством и в установленные сроки.</w:t>
      </w:r>
    </w:p>
    <w:p w:rsidR="002F186D" w:rsidRDefault="002F186D" w:rsidP="00A67F6C">
      <w:pPr>
        <w:keepLines/>
        <w:widowControl w:val="0"/>
        <w:suppressAutoHyphens/>
        <w:ind w:firstLine="567"/>
        <w:jc w:val="both"/>
        <w:rPr>
          <w:lang w:eastAsia="en-US"/>
        </w:rPr>
      </w:pPr>
      <w:r>
        <w:rPr>
          <w:b/>
        </w:rPr>
        <w:t>Срок предоставления гарантии на выполненные работы:</w:t>
      </w:r>
      <w:r>
        <w:t xml:space="preserve"> </w:t>
      </w:r>
      <w:r w:rsidR="00C00EF0">
        <w:t>с</w:t>
      </w:r>
      <w:r>
        <w:t xml:space="preserve">рок предоставления гарантии </w:t>
      </w:r>
      <w:r w:rsidR="00C00EF0">
        <w:t xml:space="preserve">должен </w:t>
      </w:r>
      <w:r>
        <w:t>составля</w:t>
      </w:r>
      <w:r w:rsidR="00C00EF0">
        <w:t>ть не менее</w:t>
      </w:r>
      <w:r>
        <w:t xml:space="preserve"> 9 месяцев с момента выдачи изделия получателю.</w:t>
      </w:r>
    </w:p>
    <w:p w:rsidR="002F186D" w:rsidRDefault="002F186D" w:rsidP="00A67F6C">
      <w:pPr>
        <w:keepLines/>
        <w:widowControl w:val="0"/>
        <w:suppressAutoHyphens/>
        <w:ind w:firstLine="567"/>
        <w:jc w:val="both"/>
      </w:pPr>
      <w:r>
        <w:lastRenderedPageBreak/>
        <w:t xml:space="preserve">В течение гарантийного срока </w:t>
      </w:r>
      <w:r w:rsidR="00F82195">
        <w:t>И</w:t>
      </w:r>
      <w:r>
        <w:t xml:space="preserve">сполнитель </w:t>
      </w:r>
      <w:r w:rsidR="00F82195">
        <w:t xml:space="preserve">должен </w:t>
      </w:r>
      <w:r>
        <w:t>производит</w:t>
      </w:r>
      <w:r w:rsidR="00F82195">
        <w:t>ь</w:t>
      </w:r>
      <w:r>
        <w:t xml:space="preserve"> замену, ремонт изделия бесплатно. Срок выполнения гарантийного ремонта со дня обращения Получателя </w:t>
      </w:r>
      <w:r w:rsidR="00F82195">
        <w:t xml:space="preserve">– не более </w:t>
      </w:r>
      <w:r>
        <w:t>20 рабочих дней.</w:t>
      </w:r>
    </w:p>
    <w:p w:rsidR="00B53AE8" w:rsidRPr="00686B1C" w:rsidRDefault="00B53AE8" w:rsidP="00A67F6C">
      <w:pPr>
        <w:keepLines/>
        <w:widowControl w:val="0"/>
        <w:suppressAutoHyphens/>
        <w:jc w:val="both"/>
      </w:pPr>
    </w:p>
    <w:sectPr w:rsidR="00B53AE8" w:rsidRPr="00686B1C" w:rsidSect="005E49B2">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421F30" w:rsidRDefault="00421F30" w:rsidP="00421F30">
      <w:pPr>
        <w:pStyle w:val="a4"/>
      </w:pPr>
      <w:r>
        <w:rPr>
          <w:rStyle w:val="a6"/>
        </w:rPr>
        <w:footnoteRef/>
      </w:r>
      <w:r>
        <w:t xml:space="preserve"> Не более</w:t>
      </w:r>
    </w:p>
  </w:footnote>
  <w:footnote w:id="2">
    <w:p w:rsidR="00421F30" w:rsidRDefault="00421F30" w:rsidP="00421F30">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16FC0"/>
    <w:rsid w:val="000337BA"/>
    <w:rsid w:val="00097B51"/>
    <w:rsid w:val="000A633A"/>
    <w:rsid w:val="0015148F"/>
    <w:rsid w:val="001E0C7A"/>
    <w:rsid w:val="001E249E"/>
    <w:rsid w:val="002F186D"/>
    <w:rsid w:val="00300774"/>
    <w:rsid w:val="00304C94"/>
    <w:rsid w:val="00342169"/>
    <w:rsid w:val="00390387"/>
    <w:rsid w:val="00392983"/>
    <w:rsid w:val="003D7408"/>
    <w:rsid w:val="00421F30"/>
    <w:rsid w:val="00466A21"/>
    <w:rsid w:val="004802DD"/>
    <w:rsid w:val="00482566"/>
    <w:rsid w:val="00544E03"/>
    <w:rsid w:val="005732B7"/>
    <w:rsid w:val="00576EFE"/>
    <w:rsid w:val="005B2A55"/>
    <w:rsid w:val="005C2209"/>
    <w:rsid w:val="005D3FE4"/>
    <w:rsid w:val="005E49B2"/>
    <w:rsid w:val="00657B36"/>
    <w:rsid w:val="00686B1C"/>
    <w:rsid w:val="0069211D"/>
    <w:rsid w:val="006C2B62"/>
    <w:rsid w:val="006D18E2"/>
    <w:rsid w:val="006D7A52"/>
    <w:rsid w:val="006E0694"/>
    <w:rsid w:val="006E2A00"/>
    <w:rsid w:val="00734FC9"/>
    <w:rsid w:val="00776858"/>
    <w:rsid w:val="00782F88"/>
    <w:rsid w:val="00794C2F"/>
    <w:rsid w:val="007A7A81"/>
    <w:rsid w:val="007C3245"/>
    <w:rsid w:val="007F677A"/>
    <w:rsid w:val="00835169"/>
    <w:rsid w:val="00853799"/>
    <w:rsid w:val="008C6076"/>
    <w:rsid w:val="00900A7A"/>
    <w:rsid w:val="0092129C"/>
    <w:rsid w:val="00926F2B"/>
    <w:rsid w:val="00937371"/>
    <w:rsid w:val="009406E8"/>
    <w:rsid w:val="00961AA3"/>
    <w:rsid w:val="00964A5D"/>
    <w:rsid w:val="009767C6"/>
    <w:rsid w:val="009B101C"/>
    <w:rsid w:val="009B491F"/>
    <w:rsid w:val="00A029A4"/>
    <w:rsid w:val="00A42196"/>
    <w:rsid w:val="00A47ABC"/>
    <w:rsid w:val="00A67F6C"/>
    <w:rsid w:val="00AB2382"/>
    <w:rsid w:val="00AC69E9"/>
    <w:rsid w:val="00AC7A01"/>
    <w:rsid w:val="00B06B99"/>
    <w:rsid w:val="00B172E3"/>
    <w:rsid w:val="00B27255"/>
    <w:rsid w:val="00B379B0"/>
    <w:rsid w:val="00B53AE8"/>
    <w:rsid w:val="00B70D8D"/>
    <w:rsid w:val="00B72C6C"/>
    <w:rsid w:val="00B80D83"/>
    <w:rsid w:val="00B92AB4"/>
    <w:rsid w:val="00C00EF0"/>
    <w:rsid w:val="00C5623C"/>
    <w:rsid w:val="00C93EFD"/>
    <w:rsid w:val="00CB439E"/>
    <w:rsid w:val="00CC7A3F"/>
    <w:rsid w:val="00CD6EB0"/>
    <w:rsid w:val="00CF6F61"/>
    <w:rsid w:val="00D00B31"/>
    <w:rsid w:val="00D33E97"/>
    <w:rsid w:val="00D44477"/>
    <w:rsid w:val="00D47C03"/>
    <w:rsid w:val="00D60D0D"/>
    <w:rsid w:val="00D6647A"/>
    <w:rsid w:val="00D66FEF"/>
    <w:rsid w:val="00D73EC7"/>
    <w:rsid w:val="00D842AF"/>
    <w:rsid w:val="00DA5BA6"/>
    <w:rsid w:val="00DB65A5"/>
    <w:rsid w:val="00DC0D72"/>
    <w:rsid w:val="00DC772C"/>
    <w:rsid w:val="00E06758"/>
    <w:rsid w:val="00E640AE"/>
    <w:rsid w:val="00EA113B"/>
    <w:rsid w:val="00EB08A2"/>
    <w:rsid w:val="00ED2ADF"/>
    <w:rsid w:val="00F82195"/>
    <w:rsid w:val="00FB7458"/>
    <w:rsid w:val="00FE0F75"/>
    <w:rsid w:val="00F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C37AB-1B47-4F42-8D68-AED94BC0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
    <w:link w:val="a5"/>
    <w:uiPriority w:val="99"/>
    <w:unhideWhenUsed/>
    <w:qFormat/>
    <w:rsid w:val="00466A21"/>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03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2D68-2455-4053-B399-9DD332FD7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Коноплева Лидия Сергеевна</cp:lastModifiedBy>
  <cp:revision>104</cp:revision>
  <dcterms:created xsi:type="dcterms:W3CDTF">2023-06-22T07:37:00Z</dcterms:created>
  <dcterms:modified xsi:type="dcterms:W3CDTF">2023-08-30T07:18:00Z</dcterms:modified>
</cp:coreProperties>
</file>