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D9" w:rsidRDefault="00CF3AD9" w:rsidP="00CF3AD9">
      <w:pPr>
        <w:pStyle w:val="5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Приложение № 1</w:t>
      </w:r>
    </w:p>
    <w:p w:rsidR="00CF3AD9" w:rsidRDefault="00CF3AD9" w:rsidP="00CF3AD9">
      <w:pPr>
        <w:pStyle w:val="5"/>
        <w:widowControl w:val="0"/>
        <w:spacing w:before="0"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 к Извещению о проведении электронного аукциона</w:t>
      </w:r>
    </w:p>
    <w:p w:rsidR="00CF3AD9" w:rsidRDefault="00CF3AD9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</w:p>
    <w:p w:rsidR="00ED5836" w:rsidRDefault="00ED5836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  <w:r>
        <w:rPr>
          <w:b/>
        </w:rPr>
        <w:t>Описание объекта закупки</w:t>
      </w:r>
    </w:p>
    <w:tbl>
      <w:tblPr>
        <w:tblStyle w:val="a3"/>
        <w:tblW w:w="15799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82"/>
        <w:gridCol w:w="959"/>
        <w:gridCol w:w="5503"/>
        <w:gridCol w:w="5387"/>
        <w:gridCol w:w="1417"/>
        <w:gridCol w:w="851"/>
      </w:tblGrid>
      <w:tr w:rsidR="00CF3AD9" w:rsidTr="00CF3AD9">
        <w:tc>
          <w:tcPr>
            <w:tcW w:w="1682" w:type="dxa"/>
          </w:tcPr>
          <w:p w:rsidR="00CF3AD9" w:rsidRPr="003E577A" w:rsidRDefault="00CF3AD9" w:rsidP="00232A1E">
            <w:pPr>
              <w:pStyle w:val="1"/>
              <w:keepNext/>
              <w:keepLines/>
              <w:widowControl/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1254CB">
              <w:rPr>
                <w:sz w:val="16"/>
                <w:szCs w:val="16"/>
              </w:rPr>
              <w:t>Наименование Товара (по 86 н) (Наименование по КТРУ)</w:t>
            </w:r>
          </w:p>
        </w:tc>
        <w:tc>
          <w:tcPr>
            <w:tcW w:w="959" w:type="dxa"/>
          </w:tcPr>
          <w:p w:rsidR="00CF3AD9" w:rsidRPr="003E577A" w:rsidRDefault="00CF3AD9" w:rsidP="00426B8D">
            <w:pPr>
              <w:keepNext/>
              <w:keepLines/>
              <w:ind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КТРУ/ОКПД 2</w:t>
            </w:r>
          </w:p>
        </w:tc>
        <w:tc>
          <w:tcPr>
            <w:tcW w:w="10890" w:type="dxa"/>
            <w:gridSpan w:val="2"/>
          </w:tcPr>
          <w:p w:rsidR="00CF3AD9" w:rsidRPr="003E577A" w:rsidRDefault="00CF3AD9" w:rsidP="00232A1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1417" w:type="dxa"/>
          </w:tcPr>
          <w:p w:rsidR="00CF3AD9" w:rsidRPr="003E577A" w:rsidRDefault="00CF3AD9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</w:tcPr>
          <w:p w:rsidR="00CF3AD9" w:rsidRPr="003E577A" w:rsidRDefault="00CF3AD9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 мм.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в обязательном порядке должна содержать: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наименование товара;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основных потребительских свойствах товара;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ограничениях (противопоказаниях) для применения;</w:t>
            </w: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не допускается применение изделий, если нарушена упаковка;</w:t>
            </w:r>
          </w:p>
          <w:p w:rsidR="00CF3AD9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CF3AD9" w:rsidRPr="00930788" w:rsidRDefault="00CF3AD9" w:rsidP="00E930A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930A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Поставщик должен гарантировать, что поставляемый по Требование к сроку годности товара: срок годности товара на момент поставки должен составлять не менее 12 месяцев.</w:t>
            </w:r>
          </w:p>
          <w:p w:rsidR="00CF3AD9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930788" w:rsidRDefault="00CF3AD9" w:rsidP="0093078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CF3AD9" w:rsidRPr="00930788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3078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7167E1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7167E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60 мм.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 менее 4,5 мм.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60 мм.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 менее 4,5 мм.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33 мм, с фланцем для крепления мешка, соответствующим фланцу мешка, Диаметр фланца – не менее 50 мм;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мешок дренируемый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50 мм.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21-01-25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(с катетером)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нефростомии</w:t>
            </w:r>
            <w:proofErr w:type="spellEnd"/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(Катетер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нефростомический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32.50.13.110-00003233</w:t>
            </w:r>
          </w:p>
        </w:tc>
        <w:tc>
          <w:tcPr>
            <w:tcW w:w="5503" w:type="dxa"/>
          </w:tcPr>
          <w:p w:rsidR="00DC4681" w:rsidRDefault="00CF3AD9" w:rsidP="00C84F3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J-типа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коннектором для присоединения к мочеприемнику предназначен для отведения мочи непосредственно из лоханки почки на кожу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нефростомический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дренаж. Катетер в форме «свиной хвост» с атравматическими </w:t>
            </w:r>
            <w:proofErr w:type="gram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отверстиями  из</w:t>
            </w:r>
            <w:proofErr w:type="gram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полиуретана. В комплекте 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универсальный переходник типа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Луэр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Гладкая поверхность для уменьшения образования инкрустации. Размер катетера: в зависимости от потребности Получателя. Не менее 4 типоразмеров.</w:t>
            </w:r>
          </w:p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</w:tr>
      <w:tr w:rsidR="00CF3AD9" w:rsidTr="00CF3AD9">
        <w:trPr>
          <w:trHeight w:val="251"/>
        </w:trPr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21-01-26 Катетер мочеточниковый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</w:tc>
        <w:tc>
          <w:tcPr>
            <w:tcW w:w="5503" w:type="dxa"/>
          </w:tcPr>
          <w:p w:rsidR="00CF3AD9" w:rsidRPr="00C84F3F" w:rsidRDefault="00CF3AD9" w:rsidP="00C84F3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Набор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стента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наружного мочеточникового типа "свиной хвост</w:t>
            </w:r>
            <w:proofErr w:type="gram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  состо</w:t>
            </w:r>
            <w:r w:rsidR="00DC46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</w:t>
            </w:r>
            <w:proofErr w:type="gram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из:</w:t>
            </w:r>
          </w:p>
          <w:p w:rsidR="00CF3AD9" w:rsidRPr="00C84F3F" w:rsidRDefault="00CF3AD9" w:rsidP="00C84F3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 -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стента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наружного типа ""свиной хвост"" диаметром 7СН длиной не менее 70см, из полиуретана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рентгеноконтрастного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 торцевым отверстием и отверстиями  на «свином хвосте», со съемным адаптером «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люер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 на проксимальном конце, градуировкой через 5 см на протяжении 50 см от дистального конца,</w:t>
            </w:r>
          </w:p>
          <w:p w:rsidR="00CF3AD9" w:rsidRPr="00C84F3F" w:rsidRDefault="00CF3AD9" w:rsidP="00C84F3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проводника прямого с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фиксированым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сердечником диаметром 0,038"" с тефлоновым покрытием, длиной не менее 150 см,  длина мягкого кончика не менее 3 см.</w:t>
            </w:r>
          </w:p>
          <w:p w:rsidR="00CF3AD9" w:rsidRPr="00C84F3F" w:rsidRDefault="00CF3AD9" w:rsidP="00C84F3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одноразовый в стерильной упаковке.</w:t>
            </w:r>
          </w:p>
          <w:p w:rsidR="00CF3AD9" w:rsidRPr="00C84F3F" w:rsidRDefault="00CF3AD9" w:rsidP="00C84F3F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21-01-26 Катетер мочеточниковый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уретерокутанеостомы</w:t>
            </w:r>
            <w:proofErr w:type="spellEnd"/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</w:tc>
        <w:tc>
          <w:tcPr>
            <w:tcW w:w="5503" w:type="dxa"/>
          </w:tcPr>
          <w:p w:rsidR="00CF3AD9" w:rsidRPr="00C84F3F" w:rsidRDefault="00CF3AD9" w:rsidP="00C84F3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Одноходовый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безбалонный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урологический катетер, имеющий коннектор для соединения с мочеприемником. Катетер находиться в индивидуальной упаковке.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в форме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Pigtail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, размер 8СН, длина 45см, из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рентгеноконтрастного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полиуретана, мягкий, градуировка через 5 см, дистальный конец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открытый. Отверстия на 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Pigtail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 см вдоль дренажа. 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21-01-13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Пояс для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32.50.13.190-00006908</w:t>
            </w:r>
          </w:p>
        </w:tc>
        <w:tc>
          <w:tcPr>
            <w:tcW w:w="5503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Пояс для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устройство, обеспечивающее дополнительную надежность крепления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теле.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Нестерильный эластичный пояс для дополнительной фиксации калоприемников и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уроприемников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регулируемый по длине со специальными крепежами для крепления к пластине или мешку калоприемника (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уроприемника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21-01-22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Катетер уретральный длительного пользования.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уретральный постоянный для дренажа/промывания)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32.50.13.190-00006893</w:t>
            </w:r>
          </w:p>
        </w:tc>
        <w:tc>
          <w:tcPr>
            <w:tcW w:w="5503" w:type="dxa"/>
          </w:tcPr>
          <w:p w:rsidR="00CF3AD9" w:rsidRPr="00C84F3F" w:rsidRDefault="00CF3AD9" w:rsidP="00825F6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уретральный длительного пользования, устанавливаемый в мочеиспускательный канал для отведения мочи из мочевого пузыря.  </w:t>
            </w:r>
            <w:r w:rsidR="00DC46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вухходовы</w:t>
            </w:r>
            <w:r w:rsidR="00DC46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 одним ходом для раздувания баллона, вторым для присоединения к мешку-мочеприемнику) баллонны</w:t>
            </w:r>
            <w:r w:rsidR="00DC46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(баллон служит для удержания катетера внутри мочевого пузыря). Для длительного использования. Каждый катетер 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находит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21-01-23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Катетер уретральный постоянного пользования.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уретральный постоянный для дренажа)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32.50.13.190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-00006892</w:t>
            </w:r>
          </w:p>
        </w:tc>
        <w:tc>
          <w:tcPr>
            <w:tcW w:w="5503" w:type="dxa"/>
          </w:tcPr>
          <w:p w:rsidR="00CF3AD9" w:rsidRPr="00C84F3F" w:rsidRDefault="00CF3AD9" w:rsidP="00825F6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Катетер уретральный постоянного пользования, устанавливаемый в 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мочеиспускательный канал для отведения мочи из мочевого пузыря. 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вухходовы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 одним ходом для раздувания баллона, вторым для присоединения к мешку-мочеприемнику), баллонны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(баллон служит для удержания катетера внутри мочевого пузыря). Для длительного использования. Каждый катетер 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находит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21-01-24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дренажный надлобковый)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576EB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предназначен для длительного дренирования полости мочевого пузыря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цистостому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вухходовы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 одним ходом для раздувания баллона, вторым для присоединения к мешку-мочеприемнику) баллонны</w:t>
            </w:r>
            <w:r w:rsidR="00825F6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й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(баллон служит для удержания катетера внутри мочевого пузыря), иметь дренажную воронку, отверстие для раздувания резинового баллона,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противовозвратный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клапан. Каждый катетер находится в индивидуальной упаковке.  Все размеры диапазона от СН 6 по СН 30. Размер катетера: в зависимости от потребности Получателя. Не менее 13 типоразмеров.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21-01-24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ind w:hanging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(Катетер дренажный надлобковый)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32.50.13.110-00003234</w:t>
            </w:r>
          </w:p>
        </w:tc>
        <w:tc>
          <w:tcPr>
            <w:tcW w:w="5503" w:type="dxa"/>
          </w:tcPr>
          <w:p w:rsidR="00CF3AD9" w:rsidRPr="00C84F3F" w:rsidRDefault="00CF3AD9" w:rsidP="00576EB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Катетеры для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эпицистостомы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самоудерживающиеся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крупноголовчатые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катетеры из материалов высокого качества, предназначены для длительного дренирования мочевого пузыря через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цистостому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для дренажа надлобкового свища при урологических операциях и для проведения лечебных процедур. </w:t>
            </w:r>
            <w:r w:rsidR="00576EB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рибовидный закрытый дистальный конец, надежно фиксирующий катетер в мочевом пузыре после его установки, головка катетера должна иметь дренажные отверстия. Все размеры диапазона от СН 14 по СН 36. Размер катетера: в зависимости от потребности Получателя. Не менее 12 типоразмеров.</w:t>
            </w:r>
          </w:p>
        </w:tc>
        <w:tc>
          <w:tcPr>
            <w:tcW w:w="5387" w:type="dxa"/>
            <w:vMerge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21-01-05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 встроенной плоской пластиной. </w:t>
            </w: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  <w:p w:rsidR="00CF3AD9" w:rsidRPr="00C84F3F" w:rsidRDefault="00CF3AD9" w:rsidP="00C84F3F">
            <w:pPr>
              <w:keepNext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Уроприемники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однокомпонентные дренируемые со встроенной плоской пластиной: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неразъемный герметичный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 многослойного, не пропускающего запах материала (пленки), с односторонним или двусторонним мягким нетканым покрытием, с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антирефлюксным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сливным клапанами;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встроенная адгезивная (клеевая) пластина должна быть плоская, должна быть на натуральной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основе с защитным покрытием.</w:t>
            </w:r>
          </w:p>
          <w:p w:rsidR="00CF3AD9" w:rsidRPr="00C84F3F" w:rsidRDefault="00CF3AD9" w:rsidP="00C84F3F">
            <w:pPr>
              <w:keepNext/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Максимальное вырезаемое отверстие под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 не менее 45 мм и не более 55мм.</w:t>
            </w:r>
          </w:p>
        </w:tc>
        <w:tc>
          <w:tcPr>
            <w:tcW w:w="5387" w:type="dxa"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</w:t>
            </w:r>
          </w:p>
        </w:tc>
      </w:tr>
      <w:tr w:rsidR="00CF3AD9" w:rsidTr="00CF3AD9">
        <w:tc>
          <w:tcPr>
            <w:tcW w:w="1682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21-01-02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однокомпонентный)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32.50.13.190-00006906 </w:t>
            </w:r>
          </w:p>
        </w:tc>
        <w:tc>
          <w:tcPr>
            <w:tcW w:w="5503" w:type="dxa"/>
          </w:tcPr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однокомпонентные дренируемые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пластиной: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Неразъемный, герметичный, опорожняемый через закрывающееся дренажное отверстие,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дренажным отверстием (портом), с встроенной застежкой для закрывания дренажного отверстия, с фильтром или без фильтра; со встроенной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адгезивной пластиной. </w:t>
            </w:r>
          </w:p>
          <w:p w:rsidR="00CF3AD9" w:rsidRPr="00C84F3F" w:rsidRDefault="00CF3AD9" w:rsidP="00C84F3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-встроенная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(для втянутых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во впадине и складке живота) на натуральной, </w:t>
            </w:r>
            <w:proofErr w:type="spellStart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C84F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гидроколлоидной основе, с защитным покрытием. Вырезаемое отверстие адгезивной пластины в диапазоне не менее 15 мм и не более 43 мм.</w:t>
            </w:r>
          </w:p>
        </w:tc>
        <w:tc>
          <w:tcPr>
            <w:tcW w:w="5387" w:type="dxa"/>
          </w:tcPr>
          <w:p w:rsidR="00CF3AD9" w:rsidRPr="0058140B" w:rsidRDefault="00CF3AD9" w:rsidP="00930788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DE4EB4" w:rsidRDefault="00CF3AD9" w:rsidP="00ED18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</w:t>
            </w:r>
          </w:p>
        </w:tc>
      </w:tr>
      <w:tr w:rsidR="00CF3AD9" w:rsidTr="00CF3AD9"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AD9" w:rsidRPr="0058140B" w:rsidRDefault="00CF3AD9" w:rsidP="00FB47F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8140B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t>Всего: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AD9" w:rsidRPr="0012418B" w:rsidRDefault="00CF3AD9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AD9" w:rsidRPr="0012418B" w:rsidRDefault="00CF3AD9" w:rsidP="00FB47FE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AD9" w:rsidRPr="0012418B" w:rsidRDefault="00CF3AD9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AD9" w:rsidRPr="0012418B" w:rsidRDefault="00CF3AD9" w:rsidP="00FB47FE">
            <w:pPr>
              <w:widowControl w:val="0"/>
              <w:jc w:val="center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AD9" w:rsidRPr="0012418B" w:rsidRDefault="00CF3AD9" w:rsidP="00FB47FE">
            <w:pPr>
              <w:pStyle w:val="11"/>
              <w:keepNext w:val="0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9577</w:t>
            </w:r>
          </w:p>
        </w:tc>
      </w:tr>
    </w:tbl>
    <w:p w:rsidR="000C7A0F" w:rsidRPr="000C7A0F" w:rsidRDefault="00ED5836" w:rsidP="000C7A0F">
      <w:pPr>
        <w:tabs>
          <w:tab w:val="left" w:pos="708"/>
        </w:tabs>
        <w:ind w:left="-567" w:firstLine="709"/>
        <w:rPr>
          <w:rFonts w:eastAsia="Calibri"/>
          <w:bCs/>
        </w:rPr>
      </w:pPr>
      <w:r>
        <w:t xml:space="preserve">           </w:t>
      </w:r>
      <w:r w:rsidR="000C7A0F" w:rsidRP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Основные условия исполнения контракта, заключаемого по результатам закупки</w:t>
      </w:r>
      <w:r w:rsidR="000C7A0F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:</w:t>
      </w:r>
      <w:r w:rsidR="000C7A0F">
        <w:rPr>
          <w:rFonts w:eastAsia="Calibri"/>
          <w:bCs/>
        </w:rPr>
        <w:t xml:space="preserve"> 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ГОСТ Р 58237-2022 «Средства ухода за кишечными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стомами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стомы</w:t>
      </w:r>
      <w:proofErr w:type="spellEnd"/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. Характеристики и основные требования. Методы испытаний», ГОСТ Р 52770-2016 «Изделия медицинские. Требования безопасности. Методы санитарно-химических и токсикологических испытаний», ГОСТ Р 58235-2022 «Специальные средства при нарушениях функции выделения. Термины и определения. Классификация», а в части наименования технических средств реабилитации приказ 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</w:t>
      </w:r>
      <w:r w:rsidR="000C7A0F">
        <w:rPr>
          <w:rFonts w:ascii="Times New Roman" w:eastAsia="Arial" w:hAnsi="Times New Roman" w:cs="Times New Roman"/>
          <w:sz w:val="24"/>
          <w:szCs w:val="24"/>
          <w:lang w:eastAsia="ar-SA"/>
        </w:rPr>
        <w:t>ства Российской Федерации от 30</w:t>
      </w:r>
      <w:r w:rsidR="000C7A0F" w:rsidRPr="000C7A0F">
        <w:rPr>
          <w:rFonts w:ascii="Times New Roman" w:eastAsia="Arial" w:hAnsi="Times New Roman" w:cs="Times New Roman"/>
          <w:sz w:val="24"/>
          <w:szCs w:val="24"/>
          <w:lang w:eastAsia="ar-SA"/>
        </w:rPr>
        <w:t>декабря 2005 года №2347-р».</w:t>
      </w:r>
      <w:r w:rsidR="000C7A0F" w:rsidRPr="00B26BFA">
        <w:t xml:space="preserve">  </w:t>
      </w:r>
    </w:p>
    <w:p w:rsidR="00192D2F" w:rsidRPr="00C52C5B" w:rsidRDefault="00192D2F" w:rsidP="000C7A0F">
      <w:pPr>
        <w:pStyle w:val="ConsPlusNormal"/>
        <w:suppressAutoHyphens w:val="0"/>
        <w:ind w:firstLine="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Требования к порядку поставки: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7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8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192D2F" w:rsidRPr="00C52C5B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A70FE6" w:rsidRDefault="00192D2F" w:rsidP="00A70FE6">
      <w:pPr>
        <w:widowControl w:val="0"/>
        <w:ind w:firstLine="680"/>
        <w:jc w:val="both"/>
        <w:rPr>
          <w:b/>
          <w:bCs/>
          <w:i/>
          <w:color w:val="000000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  <w:r w:rsidR="00A70FE6" w:rsidRPr="00A70FE6">
        <w:rPr>
          <w:b/>
          <w:bCs/>
          <w:i/>
          <w:color w:val="000000"/>
          <w:sz w:val="24"/>
          <w:szCs w:val="24"/>
        </w:rPr>
        <w:t xml:space="preserve"> </w:t>
      </w:r>
    </w:p>
    <w:p w:rsidR="00A70FE6" w:rsidRDefault="00A70FE6" w:rsidP="00A70FE6">
      <w:pPr>
        <w:widowControl w:val="0"/>
        <w:ind w:firstLine="680"/>
        <w:jc w:val="both"/>
        <w:rPr>
          <w:color w:val="000000"/>
          <w:sz w:val="24"/>
          <w:szCs w:val="24"/>
        </w:rPr>
      </w:pPr>
      <w:r w:rsidRPr="00A70FE6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Требование к гарантийному сроку:</w:t>
      </w:r>
      <w:r w:rsidRPr="000678BD">
        <w:rPr>
          <w:b/>
          <w:bCs/>
          <w:color w:val="000000"/>
          <w:sz w:val="24"/>
          <w:szCs w:val="24"/>
        </w:rPr>
        <w:t xml:space="preserve"> </w:t>
      </w:r>
      <w:r w:rsidRPr="00A70F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Поставщик должен гарантировать, что поставляемый по Требование к сроку годности товара: срок годности товара на момент поставки должен составлять </w:t>
      </w:r>
      <w:bookmarkStart w:id="0" w:name="_GoBack"/>
      <w:bookmarkEnd w:id="0"/>
      <w:r w:rsidRPr="00A70FE6">
        <w:rPr>
          <w:rFonts w:ascii="Times New Roman" w:eastAsia="Arial" w:hAnsi="Times New Roman" w:cs="Times New Roman"/>
          <w:sz w:val="24"/>
          <w:szCs w:val="24"/>
          <w:lang w:eastAsia="ar-SA"/>
        </w:rPr>
        <w:t>не менее 12 месяцев.</w:t>
      </w:r>
      <w:r w:rsidRPr="00B7172C">
        <w:rPr>
          <w:color w:val="000000"/>
          <w:sz w:val="24"/>
          <w:szCs w:val="24"/>
        </w:rPr>
        <w:t xml:space="preserve"> </w:t>
      </w:r>
    </w:p>
    <w:p w:rsidR="00192D2F" w:rsidRPr="00A70FE6" w:rsidRDefault="00192D2F" w:rsidP="00A70FE6">
      <w:pPr>
        <w:widowControl w:val="0"/>
        <w:ind w:firstLine="680"/>
        <w:jc w:val="both"/>
        <w:rPr>
          <w:color w:val="000000"/>
          <w:sz w:val="24"/>
          <w:szCs w:val="24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Срок поставки Товара:</w:t>
      </w:r>
      <w:r w:rsidRPr="00BA6152">
        <w:rPr>
          <w:rFonts w:ascii="Times New Roman" w:hAnsi="Times New Roman" w:cs="Times New Roman"/>
          <w:b/>
          <w:i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с даты получения от Заказчика р</w:t>
      </w:r>
      <w:r w:rsidR="00930788">
        <w:rPr>
          <w:rFonts w:ascii="Times New Roman" w:hAnsi="Times New Roman" w:cs="Times New Roman"/>
          <w:sz w:val="24"/>
          <w:szCs w:val="24"/>
        </w:rPr>
        <w:t>еестра получателей Товара по "18</w:t>
      </w:r>
      <w:r w:rsidR="00ED5836">
        <w:rPr>
          <w:rFonts w:ascii="Times New Roman" w:hAnsi="Times New Roman" w:cs="Times New Roman"/>
          <w:sz w:val="24"/>
          <w:szCs w:val="24"/>
        </w:rPr>
        <w:t xml:space="preserve">" </w:t>
      </w:r>
      <w:r w:rsidR="00930788">
        <w:rPr>
          <w:rFonts w:ascii="Times New Roman" w:hAnsi="Times New Roman" w:cs="Times New Roman"/>
          <w:sz w:val="24"/>
          <w:szCs w:val="24"/>
        </w:rPr>
        <w:t>октября 2024</w:t>
      </w:r>
      <w:r w:rsidRPr="00C52C5B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Поставка Товара Получателям не должна превышать </w:t>
      </w:r>
      <w:r w:rsidR="00AE04DD">
        <w:rPr>
          <w:rFonts w:ascii="Times New Roman" w:hAnsi="Times New Roman" w:cs="Times New Roman"/>
          <w:sz w:val="24"/>
          <w:szCs w:val="24"/>
        </w:rPr>
        <w:t>30</w:t>
      </w:r>
      <w:r w:rsidR="00AE04DD" w:rsidRPr="000678BD">
        <w:rPr>
          <w:rFonts w:ascii="Times New Roman" w:hAnsi="Times New Roman" w:cs="Times New Roman"/>
          <w:sz w:val="24"/>
          <w:szCs w:val="24"/>
        </w:rPr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192D2F" w:rsidRPr="00BA6152" w:rsidRDefault="00192D2F" w:rsidP="000C7A0F">
      <w:pPr>
        <w:pStyle w:val="ConsPlusNormal"/>
        <w:suppressAutoHyphens w:val="0"/>
        <w:ind w:firstLine="540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Место поставки Товара: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240145" w:rsidRDefault="00240145" w:rsidP="00DE4EB4">
      <w:pPr>
        <w:widowControl w:val="0"/>
        <w:ind w:right="-284"/>
        <w:jc w:val="both"/>
      </w:pPr>
    </w:p>
    <w:p w:rsidR="00ED5836" w:rsidRDefault="00ED5836" w:rsidP="00DE4EB4">
      <w:pPr>
        <w:widowControl w:val="0"/>
        <w:ind w:right="-284"/>
        <w:jc w:val="both"/>
      </w:pPr>
    </w:p>
    <w:p w:rsidR="0058140B" w:rsidRDefault="0058140B" w:rsidP="00DE4EB4">
      <w:pPr>
        <w:widowControl w:val="0"/>
        <w:ind w:right="-284"/>
        <w:jc w:val="both"/>
      </w:pPr>
    </w:p>
    <w:p w:rsidR="0058140B" w:rsidRPr="0058140B" w:rsidRDefault="0058140B" w:rsidP="00DE4EB4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sectPr w:rsidR="0058140B" w:rsidRPr="0058140B" w:rsidSect="00232A1E">
      <w:headerReference w:type="default" r:id="rId9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DD" w:rsidRDefault="00AE04DD" w:rsidP="00740592">
      <w:pPr>
        <w:spacing w:after="0" w:line="240" w:lineRule="auto"/>
      </w:pPr>
      <w:r>
        <w:separator/>
      </w:r>
    </w:p>
  </w:endnote>
  <w:end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DD" w:rsidRDefault="00AE04DD" w:rsidP="00740592">
      <w:pPr>
        <w:spacing w:after="0" w:line="240" w:lineRule="auto"/>
      </w:pPr>
      <w:r>
        <w:separator/>
      </w:r>
    </w:p>
  </w:footnote>
  <w:footnote w:type="continuationSeparator" w:id="0">
    <w:p w:rsidR="00AE04DD" w:rsidRDefault="00AE04DD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  <w:p w:rsidR="00AE04DD" w:rsidRDefault="00AE04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3"/>
    <w:rsid w:val="000C7A0F"/>
    <w:rsid w:val="000D0349"/>
    <w:rsid w:val="00130435"/>
    <w:rsid w:val="00186578"/>
    <w:rsid w:val="00187FB5"/>
    <w:rsid w:val="00190D27"/>
    <w:rsid w:val="00192D2F"/>
    <w:rsid w:val="001D7E74"/>
    <w:rsid w:val="001F7716"/>
    <w:rsid w:val="002015C0"/>
    <w:rsid w:val="00215A1D"/>
    <w:rsid w:val="00232A1E"/>
    <w:rsid w:val="00240145"/>
    <w:rsid w:val="00273BD3"/>
    <w:rsid w:val="00282987"/>
    <w:rsid w:val="002D2843"/>
    <w:rsid w:val="003E577A"/>
    <w:rsid w:val="004011F1"/>
    <w:rsid w:val="00426B8D"/>
    <w:rsid w:val="004D7617"/>
    <w:rsid w:val="004E1665"/>
    <w:rsid w:val="004E7162"/>
    <w:rsid w:val="00532228"/>
    <w:rsid w:val="00576EB6"/>
    <w:rsid w:val="0058140B"/>
    <w:rsid w:val="005B3C67"/>
    <w:rsid w:val="005F0202"/>
    <w:rsid w:val="0064003A"/>
    <w:rsid w:val="0064333E"/>
    <w:rsid w:val="006871EE"/>
    <w:rsid w:val="006922A9"/>
    <w:rsid w:val="006B64C3"/>
    <w:rsid w:val="006D2685"/>
    <w:rsid w:val="006E6BA3"/>
    <w:rsid w:val="00704B79"/>
    <w:rsid w:val="00740592"/>
    <w:rsid w:val="00791CE0"/>
    <w:rsid w:val="007966CF"/>
    <w:rsid w:val="00796D36"/>
    <w:rsid w:val="007A78A1"/>
    <w:rsid w:val="007C2D5F"/>
    <w:rsid w:val="007D5F58"/>
    <w:rsid w:val="007E2A9D"/>
    <w:rsid w:val="00802BF3"/>
    <w:rsid w:val="00825F6E"/>
    <w:rsid w:val="00833291"/>
    <w:rsid w:val="00866146"/>
    <w:rsid w:val="00882C4C"/>
    <w:rsid w:val="008B15FD"/>
    <w:rsid w:val="008D7354"/>
    <w:rsid w:val="008F2806"/>
    <w:rsid w:val="008F3414"/>
    <w:rsid w:val="00926C43"/>
    <w:rsid w:val="00930788"/>
    <w:rsid w:val="009A3A75"/>
    <w:rsid w:val="009C5991"/>
    <w:rsid w:val="009F06C1"/>
    <w:rsid w:val="00A114DF"/>
    <w:rsid w:val="00A27BCF"/>
    <w:rsid w:val="00A47ED5"/>
    <w:rsid w:val="00A5718E"/>
    <w:rsid w:val="00A70FE6"/>
    <w:rsid w:val="00A858AB"/>
    <w:rsid w:val="00AB098C"/>
    <w:rsid w:val="00AB1AFF"/>
    <w:rsid w:val="00AB4BAF"/>
    <w:rsid w:val="00AE04DD"/>
    <w:rsid w:val="00B02FCE"/>
    <w:rsid w:val="00B22C21"/>
    <w:rsid w:val="00B35526"/>
    <w:rsid w:val="00B35563"/>
    <w:rsid w:val="00B63B50"/>
    <w:rsid w:val="00B8146D"/>
    <w:rsid w:val="00B872E7"/>
    <w:rsid w:val="00BC2244"/>
    <w:rsid w:val="00C36F88"/>
    <w:rsid w:val="00C84F3F"/>
    <w:rsid w:val="00CD6261"/>
    <w:rsid w:val="00CF3AD9"/>
    <w:rsid w:val="00D7162E"/>
    <w:rsid w:val="00D723A0"/>
    <w:rsid w:val="00DC4681"/>
    <w:rsid w:val="00DE072B"/>
    <w:rsid w:val="00DE4EB4"/>
    <w:rsid w:val="00DE6143"/>
    <w:rsid w:val="00E0253E"/>
    <w:rsid w:val="00E14ECE"/>
    <w:rsid w:val="00E25410"/>
    <w:rsid w:val="00E270B9"/>
    <w:rsid w:val="00E43A19"/>
    <w:rsid w:val="00E77298"/>
    <w:rsid w:val="00E930A0"/>
    <w:rsid w:val="00EB1827"/>
    <w:rsid w:val="00ED5836"/>
    <w:rsid w:val="00F56968"/>
    <w:rsid w:val="00F709A1"/>
    <w:rsid w:val="00F973AB"/>
    <w:rsid w:val="00FA7873"/>
    <w:rsid w:val="00FB47FE"/>
    <w:rsid w:val="00FC09E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742BE-CC18-42AB-A942-B430F76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F3AD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078FE77EA38AAB51017371AD04BD4D9044EFFB94CEB97B749FAA5C49E1093C5CBF20F631EBF4F1803922EBD9kEr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F7018CFE6FADC7D3DD4C4FF85B97B6FF9647BCE32911B4DC5C8B819FA505E36A7A95389C1BB307695E59B099FB0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E58F5-6A54-47A6-AB92-99CAD25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Корниенко Ольга Анатольевна</cp:lastModifiedBy>
  <cp:revision>67</cp:revision>
  <cp:lastPrinted>2023-10-02T14:41:00Z</cp:lastPrinted>
  <dcterms:created xsi:type="dcterms:W3CDTF">2019-12-02T06:38:00Z</dcterms:created>
  <dcterms:modified xsi:type="dcterms:W3CDTF">2023-10-24T13:22:00Z</dcterms:modified>
</cp:coreProperties>
</file>