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6A5D2E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6A5D2E">
        <w:rPr>
          <w:b/>
          <w:sz w:val="22"/>
          <w:szCs w:val="22"/>
          <w:lang w:bidi="ru-RU"/>
        </w:rPr>
        <w:t>Приложение № 1</w:t>
      </w:r>
    </w:p>
    <w:p w:rsidR="00C65703" w:rsidRPr="006A5D2E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6A5D2E">
        <w:rPr>
          <w:b/>
          <w:sz w:val="22"/>
          <w:szCs w:val="22"/>
          <w:lang w:bidi="ru-RU"/>
        </w:rPr>
        <w:t xml:space="preserve">к </w:t>
      </w:r>
      <w:r w:rsidR="00C65703" w:rsidRPr="006A5D2E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6A5D2E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6A5D2E">
        <w:rPr>
          <w:b/>
          <w:bCs/>
          <w:sz w:val="22"/>
          <w:szCs w:val="22"/>
        </w:rPr>
        <w:t>Описание объекта закупки</w:t>
      </w:r>
    </w:p>
    <w:p w:rsidR="00115E45" w:rsidRPr="006A5D2E" w:rsidRDefault="00115E45" w:rsidP="00115E45">
      <w:pPr>
        <w:keepNext/>
        <w:suppressAutoHyphens w:val="0"/>
        <w:snapToGrid w:val="0"/>
        <w:rPr>
          <w:b/>
          <w:sz w:val="22"/>
          <w:szCs w:val="22"/>
        </w:rPr>
      </w:pPr>
      <w:r w:rsidRPr="006A5D2E">
        <w:rPr>
          <w:b/>
          <w:sz w:val="22"/>
          <w:szCs w:val="22"/>
        </w:rPr>
        <w:t>Наименование объекта закупки</w:t>
      </w:r>
      <w:r w:rsidRPr="006A5D2E">
        <w:rPr>
          <w:b/>
          <w:spacing w:val="1"/>
          <w:sz w:val="22"/>
          <w:szCs w:val="22"/>
        </w:rPr>
        <w:t>: поставка в 2023 году специальных средств при нарушениях функций выделения.</w:t>
      </w:r>
    </w:p>
    <w:p w:rsidR="00115E45" w:rsidRPr="006A5D2E" w:rsidRDefault="00115E45" w:rsidP="00115E45">
      <w:pPr>
        <w:keepNext/>
        <w:suppressAutoHyphens w:val="0"/>
        <w:autoSpaceDE w:val="0"/>
        <w:jc w:val="both"/>
        <w:rPr>
          <w:sz w:val="22"/>
          <w:szCs w:val="22"/>
        </w:rPr>
      </w:pPr>
      <w:r w:rsidRPr="006A5D2E">
        <w:rPr>
          <w:b/>
          <w:sz w:val="22"/>
          <w:szCs w:val="22"/>
        </w:rPr>
        <w:t>Описание объекта закупки (качественные, технические и функциональные характеристики)</w:t>
      </w:r>
      <w:r w:rsidRPr="006A5D2E">
        <w:rPr>
          <w:sz w:val="22"/>
          <w:szCs w:val="22"/>
        </w:rPr>
        <w:t xml:space="preserve">: специальные средства при нарушениях функций выделения – это устройства, носимые на себе, предназначенные для сбора мочи и кишечного содержимого и устранения агрессивного воздействия на кожу. Специальные средства при нарушениях функций выделения соответствуют требованиям ГОСТ Р 58235-2022, ГОСТ Р 58237-2022. При использовании специальных средств при нарушениях функций выделения по назначению не должно создаваться угрозы для жизни и здоровья потребителя, окружающей среды, а также использование таких средств не должно причинять вред имуществу потребителя. Конструкция специальных средств при нарушениях функций выделения обеспечивает пользователю удобство и простоту обращения с ними. В специальных средствах при нарушениях функций выделения отсутствуют механические повреждения (разрыв края, разрезы и т.п.), видимые невооруженным глазом. Сырье и материалы для изготовления специальных средств при нарушениях функций выделения разрешены к применению Федеральной службой по надзору в сфере защиты прав потребителей и благополучия человека. Упаковка специальных средств при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Транспортирование по ГОСТ 6658-75 </w:t>
      </w:r>
      <w:r w:rsidRPr="006A5D2E">
        <w:rPr>
          <w:sz w:val="22"/>
          <w:szCs w:val="22"/>
        </w:rPr>
        <w:lastRenderedPageBreak/>
        <w:t xml:space="preserve">(раздел 3) любым видом крытого транспорта в соответствии с правилами перевозки грузов, действующими на данном виде транспорта. </w:t>
      </w:r>
    </w:p>
    <w:p w:rsidR="00115E45" w:rsidRPr="006A5D2E" w:rsidRDefault="00115E45" w:rsidP="00115E45">
      <w:pPr>
        <w:keepNext/>
        <w:suppressAutoHyphens w:val="0"/>
        <w:autoSpaceDE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9"/>
        <w:gridCol w:w="1481"/>
      </w:tblGrid>
      <w:tr w:rsidR="00115E45" w:rsidRPr="006A5D2E" w:rsidTr="007D5E20">
        <w:tc>
          <w:tcPr>
            <w:tcW w:w="13858" w:type="dxa"/>
          </w:tcPr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1494" w:type="dxa"/>
          </w:tcPr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>Количество                                              (шт.)</w:t>
            </w:r>
          </w:p>
        </w:tc>
      </w:tr>
      <w:tr w:rsidR="00115E45" w:rsidRPr="006A5D2E" w:rsidTr="007D5E20">
        <w:tc>
          <w:tcPr>
            <w:tcW w:w="13858" w:type="dxa"/>
          </w:tcPr>
          <w:p w:rsidR="00115E45" w:rsidRPr="006A5D2E" w:rsidRDefault="00115E45" w:rsidP="00115E45">
            <w:pPr>
              <w:keepNext/>
              <w:suppressAutoHyphens w:val="0"/>
              <w:snapToGrid w:val="0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115E45" w:rsidRPr="006A5D2E" w:rsidRDefault="00115E45" w:rsidP="007D5E20">
            <w:pPr>
              <w:keepNext/>
              <w:suppressAutoHyphens w:val="0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 xml:space="preserve">Паста-герметик для защиты и выравнивания кожи вокруг </w:t>
            </w:r>
            <w:proofErr w:type="spellStart"/>
            <w:r w:rsidRPr="006A5D2E">
              <w:rPr>
                <w:b/>
                <w:sz w:val="22"/>
                <w:szCs w:val="22"/>
              </w:rPr>
              <w:t>стомы</w:t>
            </w:r>
            <w:proofErr w:type="spellEnd"/>
            <w:r w:rsidRPr="006A5D2E">
              <w:rPr>
                <w:b/>
                <w:sz w:val="22"/>
                <w:szCs w:val="22"/>
              </w:rPr>
              <w:t xml:space="preserve"> в тубе (</w:t>
            </w:r>
            <w:r w:rsidRPr="006A5D2E">
              <w:rPr>
                <w:b/>
                <w:bCs/>
                <w:sz w:val="22"/>
                <w:szCs w:val="22"/>
              </w:rPr>
              <w:t>21-01-29)</w:t>
            </w:r>
            <w:r w:rsidRPr="006A5D2E">
              <w:rPr>
                <w:b/>
                <w:sz w:val="22"/>
                <w:szCs w:val="22"/>
              </w:rPr>
              <w:t>.</w:t>
            </w:r>
          </w:p>
          <w:p w:rsidR="00115E45" w:rsidRPr="006A5D2E" w:rsidRDefault="00115E45" w:rsidP="007D5E20">
            <w:pPr>
              <w:keepNext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 xml:space="preserve">Паста должна быть предназначена для защиты кожи, </w:t>
            </w:r>
            <w:proofErr w:type="gramStart"/>
            <w:r w:rsidRPr="006A5D2E">
              <w:rPr>
                <w:sz w:val="22"/>
                <w:szCs w:val="22"/>
              </w:rPr>
              <w:t>герметизации  калоприемника</w:t>
            </w:r>
            <w:proofErr w:type="gramEnd"/>
            <w:r w:rsidRPr="006A5D2E">
              <w:rPr>
                <w:sz w:val="22"/>
                <w:szCs w:val="22"/>
              </w:rPr>
              <w:t xml:space="preserve">, выравнивания рубцов, шрамов и складок на коже вокруг </w:t>
            </w:r>
            <w:proofErr w:type="spellStart"/>
            <w:r w:rsidRPr="006A5D2E">
              <w:rPr>
                <w:sz w:val="22"/>
                <w:szCs w:val="22"/>
              </w:rPr>
              <w:t>стомы</w:t>
            </w:r>
            <w:proofErr w:type="spellEnd"/>
            <w:r w:rsidRPr="006A5D2E">
              <w:rPr>
                <w:sz w:val="22"/>
                <w:szCs w:val="22"/>
              </w:rPr>
              <w:t xml:space="preserve">. Консистенция пасты - гладкая, однородная </w:t>
            </w:r>
            <w:proofErr w:type="spellStart"/>
            <w:r w:rsidRPr="006A5D2E">
              <w:rPr>
                <w:sz w:val="22"/>
                <w:szCs w:val="22"/>
              </w:rPr>
              <w:t>мазеподобная</w:t>
            </w:r>
            <w:proofErr w:type="spellEnd"/>
            <w:r w:rsidRPr="006A5D2E">
              <w:rPr>
                <w:sz w:val="22"/>
                <w:szCs w:val="22"/>
              </w:rPr>
              <w:t xml:space="preserve"> масса на гидроколлоидной основе. Форма поставки – тюбик. Объем одного тюбика должен быть - не менее 60 г.</w:t>
            </w:r>
          </w:p>
        </w:tc>
        <w:tc>
          <w:tcPr>
            <w:tcW w:w="1494" w:type="dxa"/>
            <w:vAlign w:val="center"/>
          </w:tcPr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>2 000</w:t>
            </w:r>
          </w:p>
        </w:tc>
      </w:tr>
      <w:tr w:rsidR="00115E45" w:rsidRPr="006A5D2E" w:rsidTr="007D5E20">
        <w:tc>
          <w:tcPr>
            <w:tcW w:w="13858" w:type="dxa"/>
          </w:tcPr>
          <w:p w:rsidR="00115E45" w:rsidRPr="006A5D2E" w:rsidRDefault="00115E45" w:rsidP="00115E45">
            <w:pPr>
              <w:keepNext/>
              <w:suppressAutoHyphens w:val="0"/>
              <w:snapToGrid w:val="0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115E45" w:rsidRPr="006A5D2E" w:rsidRDefault="00115E45" w:rsidP="007D5E20">
            <w:pPr>
              <w:keepNext/>
              <w:tabs>
                <w:tab w:val="left" w:pos="708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 xml:space="preserve">Паста-герметик для защиты и выравнивания кожи вокруг </w:t>
            </w:r>
            <w:proofErr w:type="spellStart"/>
            <w:r w:rsidRPr="006A5D2E">
              <w:rPr>
                <w:b/>
                <w:sz w:val="22"/>
                <w:szCs w:val="22"/>
              </w:rPr>
              <w:t>стомы</w:t>
            </w:r>
            <w:proofErr w:type="spellEnd"/>
            <w:r w:rsidRPr="006A5D2E">
              <w:rPr>
                <w:b/>
                <w:sz w:val="22"/>
                <w:szCs w:val="22"/>
              </w:rPr>
              <w:t xml:space="preserve"> в полосках (</w:t>
            </w:r>
            <w:r w:rsidRPr="006A5D2E">
              <w:rPr>
                <w:b/>
                <w:bCs/>
                <w:sz w:val="22"/>
                <w:szCs w:val="22"/>
              </w:rPr>
              <w:t>21-01-30)</w:t>
            </w:r>
            <w:r w:rsidRPr="006A5D2E">
              <w:rPr>
                <w:b/>
                <w:sz w:val="22"/>
                <w:szCs w:val="22"/>
              </w:rPr>
              <w:t>.</w:t>
            </w:r>
          </w:p>
          <w:p w:rsidR="00115E45" w:rsidRPr="006A5D2E" w:rsidRDefault="00115E45" w:rsidP="007D5E20">
            <w:pPr>
              <w:keepNext/>
              <w:tabs>
                <w:tab w:val="left" w:pos="708"/>
              </w:tabs>
              <w:suppressAutoHyphens w:val="0"/>
              <w:jc w:val="both"/>
              <w:rPr>
                <w:rStyle w:val="content"/>
                <w:sz w:val="22"/>
                <w:szCs w:val="22"/>
              </w:rPr>
            </w:pPr>
            <w:proofErr w:type="gramStart"/>
            <w:r w:rsidRPr="006A5D2E">
              <w:rPr>
                <w:sz w:val="22"/>
                <w:szCs w:val="22"/>
              </w:rPr>
              <w:t>Паста</w:t>
            </w:r>
            <w:proofErr w:type="gramEnd"/>
            <w:r w:rsidRPr="006A5D2E">
              <w:rPr>
                <w:sz w:val="22"/>
                <w:szCs w:val="22"/>
              </w:rPr>
              <w:t xml:space="preserve"> герметизирующая </w:t>
            </w:r>
            <w:r w:rsidRPr="006A5D2E">
              <w:rPr>
                <w:rStyle w:val="content"/>
                <w:sz w:val="22"/>
                <w:szCs w:val="22"/>
              </w:rPr>
              <w:t>применяется для заполнения полостей, складок на коже, защиты кожи от раздражения или как дополнительное средство герметизации.</w:t>
            </w:r>
          </w:p>
          <w:p w:rsidR="00115E45" w:rsidRPr="006A5D2E" w:rsidRDefault="00115E45" w:rsidP="007D5E20">
            <w:pPr>
              <w:keepNext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 xml:space="preserve">Паста при заполнении зазоров между </w:t>
            </w:r>
            <w:proofErr w:type="spellStart"/>
            <w:r w:rsidRPr="006A5D2E">
              <w:rPr>
                <w:sz w:val="22"/>
                <w:szCs w:val="22"/>
              </w:rPr>
              <w:t>стомой</w:t>
            </w:r>
            <w:proofErr w:type="spellEnd"/>
            <w:r w:rsidRPr="006A5D2E">
              <w:rPr>
                <w:sz w:val="22"/>
                <w:szCs w:val="22"/>
              </w:rPr>
              <w:t xml:space="preserve"> и пластиной должна образовывать высокоэффективный, влагонепроницаемый барьер, препятствующий затеканию содержимого под пластину. Форма поставки – полоски в упаковке (коробке). Объем одной упаковки (коробки) – не менее 60 г.</w:t>
            </w:r>
          </w:p>
        </w:tc>
        <w:tc>
          <w:tcPr>
            <w:tcW w:w="1494" w:type="dxa"/>
            <w:vAlign w:val="center"/>
          </w:tcPr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>2 240</w:t>
            </w:r>
          </w:p>
        </w:tc>
      </w:tr>
      <w:tr w:rsidR="00115E45" w:rsidRPr="006A5D2E" w:rsidTr="007D5E20">
        <w:tc>
          <w:tcPr>
            <w:tcW w:w="13858" w:type="dxa"/>
          </w:tcPr>
          <w:p w:rsidR="00115E45" w:rsidRPr="006A5D2E" w:rsidRDefault="00115E45" w:rsidP="00115E45">
            <w:pPr>
              <w:keepNext/>
              <w:suppressAutoHyphens w:val="0"/>
              <w:snapToGrid w:val="0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115E45" w:rsidRPr="006A5D2E" w:rsidRDefault="00115E45" w:rsidP="007D5E20">
            <w:pPr>
              <w:keepNext/>
              <w:suppressAutoHyphens w:val="0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>Пудра (порошок) абсорбирующая в тубе (</w:t>
            </w:r>
            <w:r w:rsidRPr="006A5D2E">
              <w:rPr>
                <w:b/>
                <w:bCs/>
                <w:sz w:val="22"/>
                <w:szCs w:val="22"/>
              </w:rPr>
              <w:t>21-01-32)</w:t>
            </w:r>
            <w:r w:rsidRPr="006A5D2E">
              <w:rPr>
                <w:b/>
                <w:sz w:val="22"/>
                <w:szCs w:val="22"/>
              </w:rPr>
              <w:t>.</w:t>
            </w:r>
          </w:p>
          <w:p w:rsidR="00115E45" w:rsidRPr="006A5D2E" w:rsidRDefault="00115E45" w:rsidP="007D5E20">
            <w:pPr>
              <w:keepNext/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 xml:space="preserve">Пудра (порошок) абсорбирующая должна быть предназначена для устранения осложнений и раздражений кожи в </w:t>
            </w:r>
            <w:proofErr w:type="spellStart"/>
            <w:r w:rsidRPr="006A5D2E">
              <w:rPr>
                <w:sz w:val="22"/>
                <w:szCs w:val="22"/>
              </w:rPr>
              <w:t>перистомальной</w:t>
            </w:r>
            <w:proofErr w:type="spellEnd"/>
            <w:r w:rsidRPr="006A5D2E">
              <w:rPr>
                <w:sz w:val="22"/>
                <w:szCs w:val="22"/>
              </w:rPr>
              <w:t xml:space="preserve"> области. Пудра (порошок) абсорбирующая должна способствовать заживлению кожи вокруг </w:t>
            </w:r>
            <w:proofErr w:type="spellStart"/>
            <w:r w:rsidRPr="006A5D2E">
              <w:rPr>
                <w:sz w:val="22"/>
                <w:szCs w:val="22"/>
              </w:rPr>
              <w:t>стомы</w:t>
            </w:r>
            <w:proofErr w:type="spellEnd"/>
            <w:r w:rsidRPr="006A5D2E">
              <w:rPr>
                <w:sz w:val="22"/>
                <w:szCs w:val="22"/>
              </w:rPr>
              <w:t>. Объем одного тюбика (флакона) должен быть не менее 25 г.</w:t>
            </w:r>
          </w:p>
        </w:tc>
        <w:tc>
          <w:tcPr>
            <w:tcW w:w="1494" w:type="dxa"/>
            <w:vAlign w:val="center"/>
          </w:tcPr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>1 400</w:t>
            </w:r>
          </w:p>
        </w:tc>
      </w:tr>
      <w:tr w:rsidR="00115E45" w:rsidRPr="006A5D2E" w:rsidTr="007D5E20">
        <w:tc>
          <w:tcPr>
            <w:tcW w:w="13858" w:type="dxa"/>
          </w:tcPr>
          <w:p w:rsidR="00115E45" w:rsidRPr="006A5D2E" w:rsidRDefault="00115E45" w:rsidP="00115E45">
            <w:pPr>
              <w:keepNext/>
              <w:keepLines/>
              <w:widowControl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6A5D2E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  <w:p w:rsidR="00115E45" w:rsidRPr="006A5D2E" w:rsidRDefault="00115E45" w:rsidP="007D5E20">
            <w:pPr>
              <w:suppressAutoHyphens w:val="0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>Адгезивная пластина - кожный барьер (</w:t>
            </w:r>
            <w:r w:rsidRPr="006A5D2E">
              <w:rPr>
                <w:b/>
                <w:bCs/>
                <w:sz w:val="22"/>
                <w:szCs w:val="22"/>
              </w:rPr>
              <w:t>21-01-40)</w:t>
            </w:r>
            <w:r w:rsidRPr="006A5D2E">
              <w:rPr>
                <w:b/>
                <w:sz w:val="22"/>
                <w:szCs w:val="22"/>
              </w:rPr>
              <w:t>.</w:t>
            </w:r>
          </w:p>
          <w:p w:rsidR="00115E45" w:rsidRPr="006A5D2E" w:rsidRDefault="00115E45" w:rsidP="007D5E20">
            <w:pPr>
              <w:keepNext/>
              <w:suppressAutoHyphens w:val="0"/>
              <w:snapToGrid w:val="0"/>
              <w:rPr>
                <w:sz w:val="22"/>
                <w:szCs w:val="22"/>
              </w:rPr>
            </w:pPr>
            <w:r w:rsidRPr="006A5D2E">
              <w:rPr>
                <w:rFonts w:eastAsia="SimSun"/>
                <w:sz w:val="22"/>
                <w:szCs w:val="22"/>
              </w:rPr>
              <w:t>Моделируемый влагопоглощающий кожный барьер, предназначенный для защиты кожи от неблагоприятного воздействия агрессивных биологических жидкостей.</w:t>
            </w:r>
          </w:p>
        </w:tc>
        <w:tc>
          <w:tcPr>
            <w:tcW w:w="1494" w:type="dxa"/>
            <w:vAlign w:val="center"/>
          </w:tcPr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15E45" w:rsidRPr="006A5D2E" w:rsidRDefault="00115E45" w:rsidP="007D5E20">
            <w:pPr>
              <w:keepNext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A5D2E">
              <w:rPr>
                <w:b/>
                <w:sz w:val="22"/>
                <w:szCs w:val="22"/>
              </w:rPr>
              <w:t>480</w:t>
            </w:r>
          </w:p>
        </w:tc>
      </w:tr>
    </w:tbl>
    <w:p w:rsidR="00115E45" w:rsidRPr="006A5D2E" w:rsidRDefault="00115E45" w:rsidP="00115E45">
      <w:pPr>
        <w:keepNext/>
        <w:suppressAutoHyphens w:val="0"/>
        <w:jc w:val="both"/>
        <w:rPr>
          <w:sz w:val="22"/>
          <w:szCs w:val="22"/>
          <w:u w:val="single"/>
        </w:rPr>
      </w:pPr>
    </w:p>
    <w:p w:rsidR="00115E45" w:rsidRPr="00CC5321" w:rsidRDefault="00115E45" w:rsidP="00115E45">
      <w:pPr>
        <w:keepNext/>
        <w:suppressAutoHyphens w:val="0"/>
        <w:snapToGrid w:val="0"/>
        <w:jc w:val="both"/>
        <w:rPr>
          <w:sz w:val="22"/>
          <w:szCs w:val="22"/>
        </w:rPr>
      </w:pPr>
      <w:r w:rsidRPr="006A5D2E">
        <w:rPr>
          <w:sz w:val="22"/>
          <w:szCs w:val="22"/>
          <w:u w:val="single"/>
        </w:rPr>
        <w:t xml:space="preserve">Срок </w:t>
      </w:r>
      <w:bookmarkStart w:id="0" w:name="_GoBack"/>
      <w:r w:rsidRPr="00CC5321">
        <w:rPr>
          <w:sz w:val="22"/>
          <w:szCs w:val="22"/>
          <w:u w:val="single"/>
        </w:rPr>
        <w:t>годности Товара</w:t>
      </w:r>
      <w:r w:rsidRPr="00CC5321">
        <w:rPr>
          <w:sz w:val="22"/>
          <w:szCs w:val="22"/>
        </w:rPr>
        <w:t xml:space="preserve"> составляет 12 (Двенадцать) месяцев с момента подписания Акта приема-передачи Товара Получателем.</w:t>
      </w:r>
    </w:p>
    <w:p w:rsidR="00CC5321" w:rsidRPr="00CC5321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CC5321">
        <w:rPr>
          <w:sz w:val="22"/>
          <w:szCs w:val="22"/>
          <w:u w:val="single"/>
        </w:rPr>
        <w:t>Место поставки Товара</w:t>
      </w:r>
      <w:r w:rsidRPr="00CC5321">
        <w:rPr>
          <w:sz w:val="22"/>
          <w:szCs w:val="22"/>
        </w:rPr>
        <w:t xml:space="preserve">: территория г. Перми; </w:t>
      </w:r>
      <w:r w:rsidRPr="00CC5321">
        <w:rPr>
          <w:bCs/>
          <w:sz w:val="22"/>
          <w:szCs w:val="22"/>
        </w:rPr>
        <w:t xml:space="preserve">после подписания Сторонами Акта выборочной </w:t>
      </w:r>
      <w:r w:rsidRPr="00CC5321">
        <w:rPr>
          <w:sz w:val="22"/>
          <w:szCs w:val="22"/>
        </w:rPr>
        <w:t xml:space="preserve">проверки поставляемого товара – Пермский край, до места </w:t>
      </w:r>
      <w:r w:rsidRPr="00CC5321">
        <w:rPr>
          <w:sz w:val="22"/>
          <w:szCs w:val="22"/>
        </w:rPr>
        <w:lastRenderedPageBreak/>
        <w:t>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Перми.</w:t>
      </w:r>
    </w:p>
    <w:p w:rsidR="00CC5321" w:rsidRPr="00CC5321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CC5321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CC5321">
        <w:rPr>
          <w:sz w:val="22"/>
          <w:szCs w:val="22"/>
        </w:rPr>
        <w:t>- в течение 5 (Пяти) рабочих дней со дня заключения контракта.</w:t>
      </w:r>
    </w:p>
    <w:p w:rsidR="00CC5321" w:rsidRPr="00CC5321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CC5321">
        <w:rPr>
          <w:sz w:val="22"/>
          <w:szCs w:val="22"/>
        </w:rPr>
        <w:t xml:space="preserve">Срок поставки Товара </w:t>
      </w:r>
      <w:r w:rsidRPr="00CC5321">
        <w:rPr>
          <w:sz w:val="22"/>
          <w:szCs w:val="22"/>
          <w:u w:val="single"/>
        </w:rPr>
        <w:t>Получателям</w:t>
      </w:r>
      <w:r w:rsidRPr="00CC5321">
        <w:rPr>
          <w:sz w:val="22"/>
          <w:szCs w:val="22"/>
        </w:rPr>
        <w:t xml:space="preserve">, </w:t>
      </w:r>
      <w:r w:rsidRPr="00CC5321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CC5321">
        <w:rPr>
          <w:sz w:val="22"/>
          <w:szCs w:val="22"/>
        </w:rPr>
        <w:t xml:space="preserve">в течение 10 (Десяти) дней с даты передачи Реестра, но не ранее подписания Сторонами </w:t>
      </w:r>
      <w:r w:rsidRPr="00CC5321">
        <w:rPr>
          <w:bCs/>
          <w:sz w:val="22"/>
          <w:szCs w:val="22"/>
        </w:rPr>
        <w:t xml:space="preserve">Акта выборочной </w:t>
      </w:r>
      <w:r w:rsidRPr="00CC5321">
        <w:rPr>
          <w:sz w:val="22"/>
          <w:szCs w:val="22"/>
        </w:rPr>
        <w:t>проверки поставляемого товара.</w:t>
      </w:r>
    </w:p>
    <w:p w:rsidR="00CC5321" w:rsidRPr="00CC5321" w:rsidRDefault="00CC5321" w:rsidP="00CC5321">
      <w:pPr>
        <w:keepNext/>
        <w:suppressAutoHyphens w:val="0"/>
        <w:jc w:val="both"/>
        <w:rPr>
          <w:sz w:val="22"/>
          <w:szCs w:val="22"/>
        </w:rPr>
      </w:pPr>
      <w:r w:rsidRPr="00CC5321">
        <w:rPr>
          <w:sz w:val="22"/>
          <w:szCs w:val="22"/>
        </w:rPr>
        <w:t xml:space="preserve">Срок действия государственного контракта – </w:t>
      </w:r>
      <w:r w:rsidRPr="00CC5321">
        <w:rPr>
          <w:b/>
          <w:bCs/>
          <w:sz w:val="22"/>
          <w:szCs w:val="22"/>
        </w:rPr>
        <w:t>21.12.2023 года.</w:t>
      </w:r>
    </w:p>
    <w:p w:rsidR="00CC5321" w:rsidRPr="00CC5321" w:rsidRDefault="00CC5321" w:rsidP="00CC5321">
      <w:pPr>
        <w:pStyle w:val="ConsPlusNonformat"/>
        <w:keepNext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bookmarkEnd w:id="0"/>
    <w:p w:rsidR="00803833" w:rsidRPr="00CC5321" w:rsidRDefault="00803833" w:rsidP="00CC5321">
      <w:pPr>
        <w:keepNext/>
        <w:suppressAutoHyphens w:val="0"/>
        <w:jc w:val="both"/>
        <w:rPr>
          <w:sz w:val="22"/>
          <w:szCs w:val="22"/>
        </w:rPr>
      </w:pPr>
    </w:p>
    <w:sectPr w:rsidR="00803833" w:rsidRPr="00CC5321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7968"/>
    <w:multiLevelType w:val="hybridMultilevel"/>
    <w:tmpl w:val="6C78B1FE"/>
    <w:lvl w:ilvl="0" w:tplc="30CC6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D7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D6D80"/>
    <w:rsid w:val="000E3522"/>
    <w:rsid w:val="000F6640"/>
    <w:rsid w:val="00100236"/>
    <w:rsid w:val="00105B43"/>
    <w:rsid w:val="00106EC0"/>
    <w:rsid w:val="001150C8"/>
    <w:rsid w:val="00115E45"/>
    <w:rsid w:val="00115F87"/>
    <w:rsid w:val="00131E83"/>
    <w:rsid w:val="00134B94"/>
    <w:rsid w:val="00134E41"/>
    <w:rsid w:val="001377B7"/>
    <w:rsid w:val="00163291"/>
    <w:rsid w:val="0016586C"/>
    <w:rsid w:val="001765BF"/>
    <w:rsid w:val="001800E4"/>
    <w:rsid w:val="001B6B57"/>
    <w:rsid w:val="001C027E"/>
    <w:rsid w:val="001E2F6A"/>
    <w:rsid w:val="00212AA8"/>
    <w:rsid w:val="0022569C"/>
    <w:rsid w:val="002351C6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C3A55"/>
    <w:rsid w:val="003D47AC"/>
    <w:rsid w:val="003F7AAA"/>
    <w:rsid w:val="004022E5"/>
    <w:rsid w:val="00415390"/>
    <w:rsid w:val="00415B88"/>
    <w:rsid w:val="004378CF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700D8"/>
    <w:rsid w:val="0058192F"/>
    <w:rsid w:val="00585458"/>
    <w:rsid w:val="00595EB2"/>
    <w:rsid w:val="00596B03"/>
    <w:rsid w:val="005A3E31"/>
    <w:rsid w:val="005B1D35"/>
    <w:rsid w:val="005C2891"/>
    <w:rsid w:val="005E033F"/>
    <w:rsid w:val="005E2C1D"/>
    <w:rsid w:val="005F3740"/>
    <w:rsid w:val="005F4411"/>
    <w:rsid w:val="0063679A"/>
    <w:rsid w:val="006558D5"/>
    <w:rsid w:val="00664F5C"/>
    <w:rsid w:val="00676E39"/>
    <w:rsid w:val="00685437"/>
    <w:rsid w:val="00685BA8"/>
    <w:rsid w:val="006A5D2E"/>
    <w:rsid w:val="006B2A92"/>
    <w:rsid w:val="006C02A0"/>
    <w:rsid w:val="006D2D6B"/>
    <w:rsid w:val="006D38BD"/>
    <w:rsid w:val="006D6322"/>
    <w:rsid w:val="006D6755"/>
    <w:rsid w:val="006E4C0B"/>
    <w:rsid w:val="006E7AF4"/>
    <w:rsid w:val="006F0070"/>
    <w:rsid w:val="006F5FD8"/>
    <w:rsid w:val="0070014E"/>
    <w:rsid w:val="00731E34"/>
    <w:rsid w:val="0073424F"/>
    <w:rsid w:val="00736059"/>
    <w:rsid w:val="00745304"/>
    <w:rsid w:val="0076348E"/>
    <w:rsid w:val="007743EB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73C0A"/>
    <w:rsid w:val="008852D6"/>
    <w:rsid w:val="0089256C"/>
    <w:rsid w:val="00893E42"/>
    <w:rsid w:val="008B7C8F"/>
    <w:rsid w:val="008B7D56"/>
    <w:rsid w:val="008E3996"/>
    <w:rsid w:val="00917D76"/>
    <w:rsid w:val="009221DF"/>
    <w:rsid w:val="009330C1"/>
    <w:rsid w:val="00955F7B"/>
    <w:rsid w:val="00956944"/>
    <w:rsid w:val="00957E6A"/>
    <w:rsid w:val="00980B23"/>
    <w:rsid w:val="00992B25"/>
    <w:rsid w:val="009A5FDD"/>
    <w:rsid w:val="009D6616"/>
    <w:rsid w:val="009D7BCB"/>
    <w:rsid w:val="009E0EF5"/>
    <w:rsid w:val="00A02C77"/>
    <w:rsid w:val="00A26A9B"/>
    <w:rsid w:val="00A46846"/>
    <w:rsid w:val="00A55585"/>
    <w:rsid w:val="00A64AAE"/>
    <w:rsid w:val="00A71C97"/>
    <w:rsid w:val="00A754F8"/>
    <w:rsid w:val="00A764CF"/>
    <w:rsid w:val="00A87C74"/>
    <w:rsid w:val="00A90E71"/>
    <w:rsid w:val="00A93CCE"/>
    <w:rsid w:val="00A971BE"/>
    <w:rsid w:val="00AA2D83"/>
    <w:rsid w:val="00AA5CB7"/>
    <w:rsid w:val="00AB4683"/>
    <w:rsid w:val="00AC7893"/>
    <w:rsid w:val="00AD5D39"/>
    <w:rsid w:val="00AE7174"/>
    <w:rsid w:val="00B00CEC"/>
    <w:rsid w:val="00B24973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C2D15"/>
    <w:rsid w:val="00BD38A5"/>
    <w:rsid w:val="00BD6734"/>
    <w:rsid w:val="00BE25B6"/>
    <w:rsid w:val="00BE5077"/>
    <w:rsid w:val="00BE5A05"/>
    <w:rsid w:val="00BF3A26"/>
    <w:rsid w:val="00C008D8"/>
    <w:rsid w:val="00C00BCB"/>
    <w:rsid w:val="00C13345"/>
    <w:rsid w:val="00C21127"/>
    <w:rsid w:val="00C334CE"/>
    <w:rsid w:val="00C35082"/>
    <w:rsid w:val="00C37CE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CC5321"/>
    <w:rsid w:val="00CE670A"/>
    <w:rsid w:val="00D17116"/>
    <w:rsid w:val="00D24948"/>
    <w:rsid w:val="00DA41B2"/>
    <w:rsid w:val="00DA446C"/>
    <w:rsid w:val="00DB02A9"/>
    <w:rsid w:val="00DC7910"/>
    <w:rsid w:val="00DD2DB6"/>
    <w:rsid w:val="00DF7327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F00819"/>
    <w:rsid w:val="00F16607"/>
    <w:rsid w:val="00F274F5"/>
    <w:rsid w:val="00F6185C"/>
    <w:rsid w:val="00F86F47"/>
    <w:rsid w:val="00FA4135"/>
    <w:rsid w:val="00FB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66CF-8E57-4EE3-87EB-EFFDC49E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  <w:style w:type="character" w:customStyle="1" w:styleId="content">
    <w:name w:val="content"/>
    <w:rsid w:val="0011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6</cp:revision>
  <dcterms:created xsi:type="dcterms:W3CDTF">2023-11-02T05:00:00Z</dcterms:created>
  <dcterms:modified xsi:type="dcterms:W3CDTF">2023-11-02T12:48:00Z</dcterms:modified>
</cp:coreProperties>
</file>