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28" w:rsidRPr="00C60643" w:rsidRDefault="000F2A28" w:rsidP="008D4DC1">
      <w:pPr>
        <w:keepNext/>
        <w:suppressAutoHyphens w:val="0"/>
        <w:ind w:left="8505"/>
        <w:rPr>
          <w:bCs/>
        </w:rPr>
      </w:pPr>
      <w:r w:rsidRPr="00C60643">
        <w:rPr>
          <w:bCs/>
        </w:rPr>
        <w:t>Приложение № 1</w:t>
      </w:r>
    </w:p>
    <w:p w:rsidR="000F2A28" w:rsidRPr="00C60643" w:rsidRDefault="000F2A28" w:rsidP="008D4DC1">
      <w:pPr>
        <w:keepNext/>
        <w:suppressAutoHyphens w:val="0"/>
        <w:ind w:left="8505"/>
      </w:pPr>
      <w:r w:rsidRPr="00C60643">
        <w:t xml:space="preserve">к Извещению </w:t>
      </w:r>
      <w:proofErr w:type="gramStart"/>
      <w:r w:rsidRPr="00C60643">
        <w:t>об</w:t>
      </w:r>
      <w:proofErr w:type="gramEnd"/>
      <w:r w:rsidRPr="00C60643">
        <w:t xml:space="preserve"> </w:t>
      </w:r>
    </w:p>
    <w:p w:rsidR="000F2A28" w:rsidRPr="00C60643" w:rsidRDefault="000F2A28" w:rsidP="008D4DC1">
      <w:pPr>
        <w:keepNext/>
        <w:suppressAutoHyphens w:val="0"/>
        <w:ind w:left="8505"/>
      </w:pPr>
      <w:proofErr w:type="gramStart"/>
      <w:r w:rsidRPr="00C60643">
        <w:t>осуществлении</w:t>
      </w:r>
      <w:proofErr w:type="gramEnd"/>
      <w:r w:rsidRPr="00C60643">
        <w:t xml:space="preserve"> закупки</w:t>
      </w:r>
    </w:p>
    <w:p w:rsidR="000F2A28" w:rsidRPr="00C60643" w:rsidRDefault="000F2A28" w:rsidP="008D4DC1">
      <w:pPr>
        <w:keepNext/>
        <w:suppressAutoHyphens w:val="0"/>
        <w:ind w:left="8505"/>
        <w:rPr>
          <w:b/>
        </w:rPr>
      </w:pPr>
    </w:p>
    <w:p w:rsidR="00AA2B12" w:rsidRPr="00C60643" w:rsidRDefault="00AA2B12" w:rsidP="00CD2942">
      <w:pPr>
        <w:keepNext/>
        <w:suppressAutoHyphens w:val="0"/>
        <w:ind w:firstLine="709"/>
        <w:jc w:val="center"/>
        <w:rPr>
          <w:b/>
        </w:rPr>
      </w:pPr>
      <w:r w:rsidRPr="00C60643">
        <w:rPr>
          <w:b/>
        </w:rPr>
        <w:t>Описание объекта закупки</w:t>
      </w:r>
    </w:p>
    <w:p w:rsidR="001C416F" w:rsidRPr="00C60643" w:rsidRDefault="001C416F" w:rsidP="00CD2942">
      <w:pPr>
        <w:keepNext/>
        <w:suppressAutoHyphens w:val="0"/>
        <w:ind w:firstLine="709"/>
        <w:jc w:val="center"/>
        <w:rPr>
          <w:b/>
        </w:rPr>
      </w:pPr>
    </w:p>
    <w:p w:rsidR="0034467D" w:rsidRPr="00C60643" w:rsidRDefault="0034467D" w:rsidP="00CD2942">
      <w:pPr>
        <w:keepNext/>
        <w:suppressAutoHyphens w:val="0"/>
        <w:ind w:firstLine="709"/>
        <w:jc w:val="center"/>
        <w:rPr>
          <w:b/>
        </w:rPr>
      </w:pPr>
      <w:r w:rsidRPr="00C60643">
        <w:rPr>
          <w:b/>
        </w:rPr>
        <w:t>(Технические требования)</w:t>
      </w:r>
    </w:p>
    <w:p w:rsidR="0034467D" w:rsidRPr="00C60643" w:rsidRDefault="0034467D" w:rsidP="00CD2942">
      <w:pPr>
        <w:keepNext/>
        <w:suppressAutoHyphens w:val="0"/>
        <w:ind w:firstLine="709"/>
        <w:jc w:val="center"/>
        <w:rPr>
          <w:b/>
        </w:rPr>
      </w:pPr>
    </w:p>
    <w:p w:rsidR="00AA2B12" w:rsidRPr="00C60643" w:rsidRDefault="001C416F" w:rsidP="00CD2942">
      <w:pPr>
        <w:keepNext/>
        <w:suppressAutoHyphens w:val="0"/>
        <w:ind w:firstLine="851"/>
        <w:jc w:val="both"/>
      </w:pPr>
      <w:r w:rsidRPr="00C60643">
        <w:t xml:space="preserve">Наименование объекта закупки: Поставка </w:t>
      </w:r>
      <w:r w:rsidR="009A6433" w:rsidRPr="00C60643">
        <w:rPr>
          <w:shd w:val="clear" w:color="auto" w:fill="FAFAFA"/>
        </w:rPr>
        <w:t>технических средств реабилитации (Подгузники для детей) для обеспечения в 2024 году Получателей</w:t>
      </w:r>
      <w:r w:rsidR="00615300" w:rsidRPr="00C60643">
        <w:t>.</w:t>
      </w:r>
    </w:p>
    <w:p w:rsidR="00403DD4" w:rsidRPr="00C60643" w:rsidRDefault="00403DD4" w:rsidP="00CD2942">
      <w:pPr>
        <w:keepNext/>
        <w:suppressAutoHyphens w:val="0"/>
        <w:ind w:firstLine="851"/>
        <w:jc w:val="both"/>
      </w:pPr>
    </w:p>
    <w:tbl>
      <w:tblPr>
        <w:tblW w:w="10570" w:type="dxa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599"/>
        <w:gridCol w:w="1229"/>
        <w:gridCol w:w="800"/>
        <w:gridCol w:w="1203"/>
        <w:gridCol w:w="3946"/>
        <w:gridCol w:w="1134"/>
      </w:tblGrid>
      <w:tr w:rsidR="00403DD4" w:rsidRPr="00C60643" w:rsidTr="009A6433">
        <w:trPr>
          <w:jc w:val="center"/>
        </w:trPr>
        <w:tc>
          <w:tcPr>
            <w:tcW w:w="659" w:type="dxa"/>
          </w:tcPr>
          <w:p w:rsidR="00403DD4" w:rsidRPr="00C60643" w:rsidRDefault="00403DD4" w:rsidP="00CD2942">
            <w:pPr>
              <w:keepNext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№</w:t>
            </w:r>
          </w:p>
          <w:p w:rsidR="00403DD4" w:rsidRPr="00C60643" w:rsidRDefault="00403DD4" w:rsidP="00CD2942">
            <w:pPr>
              <w:keepNext/>
              <w:jc w:val="center"/>
              <w:rPr>
                <w:sz w:val="20"/>
                <w:szCs w:val="20"/>
              </w:rPr>
            </w:pPr>
            <w:proofErr w:type="gramStart"/>
            <w:r w:rsidRPr="00C60643">
              <w:rPr>
                <w:sz w:val="20"/>
                <w:szCs w:val="20"/>
              </w:rPr>
              <w:t>п</w:t>
            </w:r>
            <w:proofErr w:type="gramEnd"/>
            <w:r w:rsidRPr="00C60643">
              <w:rPr>
                <w:sz w:val="20"/>
                <w:szCs w:val="20"/>
              </w:rPr>
              <w:t>/п</w:t>
            </w:r>
          </w:p>
        </w:tc>
        <w:tc>
          <w:tcPr>
            <w:tcW w:w="1599" w:type="dxa"/>
          </w:tcPr>
          <w:p w:rsidR="00403DD4" w:rsidRPr="00C60643" w:rsidRDefault="00403DD4" w:rsidP="00CD2942">
            <w:pPr>
              <w:keepNext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229" w:type="dxa"/>
          </w:tcPr>
          <w:p w:rsidR="00403DD4" w:rsidRPr="00C60643" w:rsidRDefault="00403DD4" w:rsidP="00CD2942">
            <w:pPr>
              <w:keepNext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КТРУ/</w:t>
            </w:r>
          </w:p>
          <w:p w:rsidR="00403DD4" w:rsidRPr="00C60643" w:rsidRDefault="00403DD4" w:rsidP="00CD2942">
            <w:pPr>
              <w:keepNext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ОКПД</w:t>
            </w:r>
            <w:proofErr w:type="gramStart"/>
            <w:r w:rsidRPr="00C6064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00" w:type="dxa"/>
          </w:tcPr>
          <w:p w:rsidR="00403DD4" w:rsidRPr="00C60643" w:rsidRDefault="00403DD4" w:rsidP="00CD2942">
            <w:pPr>
              <w:keepNext/>
              <w:ind w:left="-108" w:right="-108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Кол-во,</w:t>
            </w:r>
          </w:p>
          <w:p w:rsidR="00403DD4" w:rsidRPr="00C60643" w:rsidRDefault="00403DD4" w:rsidP="00CD2942">
            <w:pPr>
              <w:keepNext/>
              <w:ind w:left="-108" w:right="-108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шт.</w:t>
            </w:r>
          </w:p>
        </w:tc>
        <w:tc>
          <w:tcPr>
            <w:tcW w:w="1203" w:type="dxa"/>
          </w:tcPr>
          <w:p w:rsidR="00403DD4" w:rsidRPr="00C60643" w:rsidRDefault="00403DD4" w:rsidP="00CD2942">
            <w:pPr>
              <w:keepNext/>
              <w:ind w:left="-89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946" w:type="dxa"/>
          </w:tcPr>
          <w:p w:rsidR="00403DD4" w:rsidRPr="00C60643" w:rsidRDefault="00403DD4" w:rsidP="00CD2942">
            <w:pPr>
              <w:keepNext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</w:tcPr>
          <w:p w:rsidR="00403DD4" w:rsidRPr="00C60643" w:rsidRDefault="00403DD4" w:rsidP="00CD2942">
            <w:pPr>
              <w:keepNext/>
              <w:ind w:left="-37" w:right="-5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Инструкция по заполнению характеристик</w:t>
            </w:r>
          </w:p>
          <w:p w:rsidR="00403DD4" w:rsidRPr="00C60643" w:rsidRDefault="00403DD4" w:rsidP="00CD2942">
            <w:pPr>
              <w:keepNext/>
              <w:ind w:left="-37" w:right="-5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в заявке</w:t>
            </w:r>
          </w:p>
        </w:tc>
      </w:tr>
      <w:tr w:rsidR="008878BD" w:rsidRPr="00C60643" w:rsidTr="009A6433">
        <w:trPr>
          <w:trHeight w:val="27"/>
          <w:jc w:val="center"/>
        </w:trPr>
        <w:tc>
          <w:tcPr>
            <w:tcW w:w="659" w:type="dxa"/>
          </w:tcPr>
          <w:p w:rsidR="008878BD" w:rsidRPr="00C60643" w:rsidRDefault="008878BD" w:rsidP="00CD2942">
            <w:pPr>
              <w:keepNext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</w:tcPr>
          <w:p w:rsidR="008878BD" w:rsidRPr="00C60643" w:rsidRDefault="008878BD" w:rsidP="008F1ED3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color w:val="000000"/>
                <w:sz w:val="20"/>
                <w:szCs w:val="20"/>
              </w:rPr>
              <w:t>Наименование по коду КТРУ: Подгузники детские</w:t>
            </w:r>
          </w:p>
          <w:p w:rsidR="008878BD" w:rsidRPr="00C60643" w:rsidRDefault="008878BD" w:rsidP="008F1E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78BD" w:rsidRPr="00C60643" w:rsidRDefault="008878BD" w:rsidP="008F1ED3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color w:val="000000"/>
                <w:sz w:val="20"/>
                <w:szCs w:val="20"/>
              </w:rPr>
              <w:t>Приказу Министерства труда и социальной защиты Российской Федерации от 13.02.2018 № 86н:</w:t>
            </w:r>
          </w:p>
          <w:p w:rsidR="008878BD" w:rsidRPr="00C60643" w:rsidRDefault="008878BD" w:rsidP="008F1ED3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color w:val="000000"/>
                <w:sz w:val="20"/>
                <w:szCs w:val="20"/>
              </w:rPr>
              <w:t>Подгузники для детей весом до 9 кг</w:t>
            </w:r>
          </w:p>
          <w:p w:rsidR="008878BD" w:rsidRPr="00C60643" w:rsidRDefault="008878BD" w:rsidP="008F1E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</w:tcPr>
          <w:p w:rsidR="008878BD" w:rsidRPr="00C60643" w:rsidRDefault="00610750" w:rsidP="00CD2942">
            <w:pPr>
              <w:keepNext/>
              <w:ind w:left="-68" w:right="-92"/>
              <w:jc w:val="center"/>
              <w:rPr>
                <w:sz w:val="20"/>
                <w:szCs w:val="20"/>
              </w:rPr>
            </w:pPr>
            <w:hyperlink r:id="rId7" w:tgtFrame="_blank" w:history="1">
              <w:r w:rsidR="008878BD" w:rsidRPr="00C60643">
                <w:rPr>
                  <w:color w:val="000000" w:themeColor="text1"/>
                  <w:sz w:val="20"/>
                  <w:szCs w:val="20"/>
                </w:rPr>
                <w:t>17.22.12.120-00000001</w:t>
              </w:r>
            </w:hyperlink>
          </w:p>
          <w:p w:rsidR="008878BD" w:rsidRPr="00C60643" w:rsidRDefault="008878BD" w:rsidP="00CD2942">
            <w:pPr>
              <w:keepNext/>
              <w:ind w:left="-68" w:right="-9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/</w:t>
            </w:r>
          </w:p>
          <w:p w:rsidR="008878BD" w:rsidRPr="00C60643" w:rsidRDefault="008878BD" w:rsidP="00CD2942">
            <w:pPr>
              <w:keepNext/>
              <w:ind w:left="-68" w:right="-9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17.22.12.120</w:t>
            </w:r>
          </w:p>
        </w:tc>
        <w:tc>
          <w:tcPr>
            <w:tcW w:w="800" w:type="dxa"/>
          </w:tcPr>
          <w:p w:rsidR="008878BD" w:rsidRPr="00C60643" w:rsidRDefault="008878BD" w:rsidP="00CD2942">
            <w:pPr>
              <w:keepNext/>
              <w:ind w:left="-108" w:right="-108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1 890</w:t>
            </w:r>
          </w:p>
        </w:tc>
        <w:tc>
          <w:tcPr>
            <w:tcW w:w="1203" w:type="dxa"/>
          </w:tcPr>
          <w:p w:rsidR="008878BD" w:rsidRPr="00C60643" w:rsidRDefault="008878BD" w:rsidP="00CD2942">
            <w:pPr>
              <w:keepNext/>
              <w:ind w:left="-89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3946" w:type="dxa"/>
            <w:vAlign w:val="center"/>
          </w:tcPr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Подгузники должны быть изготовлены в соответствии с требованиями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 </w:t>
            </w:r>
            <w:r w:rsidRPr="00C60643">
              <w:rPr>
                <w:sz w:val="20"/>
                <w:szCs w:val="20"/>
              </w:rPr>
              <w:t xml:space="preserve">Национальный стандарт Российской Федерации. </w:t>
            </w: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Подгузники детские. Общие технические условия (далее -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52557-2020) по технической документации (технологический регламент, техническое описание и т.п.) на конкретный подгузник и / или группу подгузников.</w:t>
            </w:r>
          </w:p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При необходимости на подгузники утверждают образец – эталон по ГОСТ 15.009-91 </w:t>
            </w:r>
            <w:r w:rsidRPr="00C60643">
              <w:rPr>
                <w:sz w:val="20"/>
                <w:szCs w:val="20"/>
              </w:rPr>
              <w:t xml:space="preserve">Межгосударственный стандарт. </w:t>
            </w:r>
            <w:r w:rsidRPr="00C60643">
              <w:rPr>
                <w:spacing w:val="-2"/>
                <w:kern w:val="20"/>
                <w:sz w:val="20"/>
                <w:szCs w:val="20"/>
              </w:rPr>
              <w:t>Система разработки и постановки продукции на производство. Непродовольственные товары народного потребления (необходимость определяет предприятие-изготовитель).</w:t>
            </w:r>
          </w:p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 – многослойное изделие с абсорбирующим слоем одноразового пользования для впитывания и удержания мочи, предназначено для детей-инвалидов с нарушением функции выделения. Форма подгузника должна соответствовать развертке нижней части торса тела ребенка с дополнительным увеличением площади на запас боковых частей.</w:t>
            </w:r>
          </w:p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Подгузники должны пропускать воздух, но удерживать влагу.</w:t>
            </w:r>
          </w:p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Внутренняя поверхность подгузников должна быть из </w:t>
            </w:r>
            <w:proofErr w:type="spellStart"/>
            <w:r w:rsidRPr="00C60643">
              <w:rPr>
                <w:spacing w:val="-2"/>
                <w:kern w:val="20"/>
                <w:sz w:val="20"/>
                <w:szCs w:val="20"/>
              </w:rPr>
              <w:t>гипоаллергенного</w:t>
            </w:r>
            <w:proofErr w:type="spell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нетканого материала (или другого гидрофобного материала с показателями качества, обеспечивающими изготовление подгузников в соответствии с требованиями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52557-2020), пропускающего влагу в одном направлении и обеспечивающего сухость кожи ребенка и защиту от раздражения при соприкосновении с мочой и калом.</w:t>
            </w:r>
          </w:p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Подгузники закрывают боковые поверхности бедер, крепятся по бокам.</w:t>
            </w:r>
          </w:p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Подгузник должен быть оснащен застежками-липучками, водонепроницаемыми защитными барьерами по бокам, эластичным поясом на </w:t>
            </w:r>
            <w:r w:rsidRPr="00C60643">
              <w:rPr>
                <w:spacing w:val="-2"/>
                <w:kern w:val="20"/>
                <w:sz w:val="20"/>
                <w:szCs w:val="20"/>
              </w:rPr>
              <w:lastRenderedPageBreak/>
              <w:t>талии, препятствующими протеканию.</w:t>
            </w:r>
          </w:p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В подгузниках не допускаются механические повреждения.</w:t>
            </w:r>
          </w:p>
          <w:p w:rsidR="008878BD" w:rsidRPr="00C60643" w:rsidRDefault="008878BD" w:rsidP="008A56AF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bookmarkStart w:id="0" w:name="_GoBack"/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Показатели, обеспечивающие функциональное назначение подгузников должны соответствовать требованиям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52557-2020:</w:t>
            </w:r>
          </w:p>
          <w:tbl>
            <w:tblPr>
              <w:tblW w:w="3815" w:type="dxa"/>
              <w:jc w:val="center"/>
              <w:tblInd w:w="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2272"/>
            </w:tblGrid>
            <w:tr w:rsidR="009A6433" w:rsidRPr="00C60643" w:rsidTr="009A6433">
              <w:trPr>
                <w:trHeight w:val="476"/>
                <w:jc w:val="center"/>
              </w:trPr>
              <w:tc>
                <w:tcPr>
                  <w:tcW w:w="1543" w:type="dxa"/>
                  <w:vMerge w:val="restart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для детей не старше одного года, ясельного, дошкольного и школьного возраста</w:t>
                  </w:r>
                </w:p>
              </w:tc>
            </w:tr>
            <w:tr w:rsidR="009A6433" w:rsidRPr="00C60643" w:rsidTr="009A6433">
              <w:trPr>
                <w:trHeight w:val="70"/>
                <w:jc w:val="center"/>
              </w:trPr>
              <w:tc>
                <w:tcPr>
                  <w:tcW w:w="1543" w:type="dxa"/>
                  <w:vMerge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2" w:type="dxa"/>
                </w:tcPr>
                <w:p w:rsidR="009A6433" w:rsidRPr="00C60643" w:rsidRDefault="00383099" w:rsidP="00E170AC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средних</w:t>
                  </w:r>
                  <w:r w:rsidR="009A6433" w:rsidRPr="00C60643">
                    <w:rPr>
                      <w:sz w:val="20"/>
                      <w:szCs w:val="20"/>
                      <w:lang w:eastAsia="ru-RU"/>
                    </w:rPr>
                    <w:t xml:space="preserve"> размеров (Подгузники для детей весом до </w:t>
                  </w:r>
                  <w:r w:rsidR="00E170AC">
                    <w:rPr>
                      <w:sz w:val="20"/>
                      <w:szCs w:val="20"/>
                      <w:lang w:eastAsia="ru-RU"/>
                    </w:rPr>
                    <w:t>9</w:t>
                  </w:r>
                  <w:r w:rsidR="009A6433" w:rsidRPr="00C60643">
                    <w:rPr>
                      <w:sz w:val="20"/>
                      <w:szCs w:val="20"/>
                      <w:lang w:eastAsia="ru-RU"/>
                    </w:rPr>
                    <w:t xml:space="preserve"> кг)</w:t>
                  </w:r>
                </w:p>
              </w:tc>
            </w:tr>
            <w:tr w:rsidR="009A6433" w:rsidRPr="00C60643" w:rsidTr="009A6433">
              <w:trPr>
                <w:trHeight w:val="88"/>
                <w:jc w:val="center"/>
              </w:trPr>
              <w:tc>
                <w:tcPr>
                  <w:tcW w:w="1543" w:type="dxa"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 xml:space="preserve">1. Обратная сорбция, </w:t>
                  </w:r>
                  <w:proofErr w:type="gramStart"/>
                  <w:r w:rsidRPr="00C60643">
                    <w:rPr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C60643">
                    <w:rPr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9A6433" w:rsidRPr="00C60643" w:rsidTr="009A6433">
              <w:trPr>
                <w:trHeight w:val="377"/>
                <w:jc w:val="center"/>
              </w:trPr>
              <w:tc>
                <w:tcPr>
                  <w:tcW w:w="1543" w:type="dxa"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 xml:space="preserve">2. Время впитывания, </w:t>
                  </w:r>
                  <w:proofErr w:type="gramStart"/>
                  <w:r w:rsidRPr="00C60643">
                    <w:rPr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C60643">
                    <w:rPr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A6433" w:rsidRPr="00C60643" w:rsidTr="009A6433">
              <w:trPr>
                <w:trHeight w:val="377"/>
                <w:jc w:val="center"/>
              </w:trPr>
              <w:tc>
                <w:tcPr>
                  <w:tcW w:w="1543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</w:rPr>
                    <w:t xml:space="preserve">3. Изменение </w:t>
                  </w:r>
                  <w:proofErr w:type="spellStart"/>
                  <w:r w:rsidRPr="00C60643">
                    <w:rPr>
                      <w:sz w:val="20"/>
                      <w:szCs w:val="20"/>
                    </w:rPr>
                    <w:t>pH</w:t>
                  </w:r>
                  <w:proofErr w:type="spellEnd"/>
                  <w:r w:rsidRPr="00C60643">
                    <w:rPr>
                      <w:sz w:val="20"/>
                      <w:szCs w:val="20"/>
                    </w:rPr>
                    <w:t xml:space="preserve"> водной вытяжки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</w:rPr>
                    <w:t>Не более +/-1 ед.</w:t>
                  </w:r>
                </w:p>
              </w:tc>
            </w:tr>
            <w:bookmarkEnd w:id="0"/>
          </w:tbl>
          <w:p w:rsidR="008878BD" w:rsidRPr="00C60643" w:rsidRDefault="008878BD" w:rsidP="009A64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8BD" w:rsidRPr="00C60643" w:rsidRDefault="008878BD" w:rsidP="00CD2942">
            <w:pPr>
              <w:keepNext/>
              <w:ind w:left="-37" w:right="-5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8878BD" w:rsidRPr="00C60643" w:rsidTr="009A6433">
        <w:trPr>
          <w:trHeight w:val="27"/>
          <w:jc w:val="center"/>
        </w:trPr>
        <w:tc>
          <w:tcPr>
            <w:tcW w:w="659" w:type="dxa"/>
          </w:tcPr>
          <w:p w:rsidR="008878BD" w:rsidRPr="00C60643" w:rsidRDefault="008878BD" w:rsidP="00CD2942">
            <w:pPr>
              <w:keepNext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99" w:type="dxa"/>
          </w:tcPr>
          <w:p w:rsidR="008878BD" w:rsidRPr="00C60643" w:rsidRDefault="008878BD" w:rsidP="008878BD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color w:val="000000"/>
                <w:sz w:val="20"/>
                <w:szCs w:val="20"/>
              </w:rPr>
              <w:t>Наименование по коду КТРУ: Подгузники детские</w:t>
            </w:r>
          </w:p>
          <w:p w:rsidR="008878BD" w:rsidRPr="00C60643" w:rsidRDefault="008878BD" w:rsidP="008878B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78BD" w:rsidRPr="00C60643" w:rsidRDefault="008878BD" w:rsidP="008878BD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color w:val="000000"/>
                <w:sz w:val="20"/>
                <w:szCs w:val="20"/>
              </w:rPr>
              <w:t>Приказу Министерства труда и социальной защиты Российской Федерации от 13.02.2018 № 86н:</w:t>
            </w:r>
          </w:p>
          <w:p w:rsidR="008878BD" w:rsidRPr="00C60643" w:rsidRDefault="008878BD" w:rsidP="008878BD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color w:val="000000"/>
                <w:sz w:val="20"/>
                <w:szCs w:val="20"/>
              </w:rPr>
              <w:t>Подгузники для детей весом до 20 кг</w:t>
            </w:r>
          </w:p>
        </w:tc>
        <w:tc>
          <w:tcPr>
            <w:tcW w:w="1229" w:type="dxa"/>
          </w:tcPr>
          <w:p w:rsidR="008878BD" w:rsidRPr="00C60643" w:rsidRDefault="00610750" w:rsidP="00CD2942">
            <w:pPr>
              <w:keepNext/>
              <w:ind w:left="-68" w:right="-92"/>
              <w:jc w:val="center"/>
              <w:rPr>
                <w:sz w:val="20"/>
                <w:szCs w:val="20"/>
              </w:rPr>
            </w:pPr>
            <w:hyperlink r:id="rId8" w:tgtFrame="_blank" w:history="1">
              <w:r w:rsidR="008878BD" w:rsidRPr="00C60643">
                <w:rPr>
                  <w:color w:val="000000" w:themeColor="text1"/>
                  <w:sz w:val="20"/>
                  <w:szCs w:val="20"/>
                </w:rPr>
                <w:t>17.22.12.120-00000001</w:t>
              </w:r>
            </w:hyperlink>
            <w:r w:rsidR="008878BD" w:rsidRPr="00C60643">
              <w:rPr>
                <w:sz w:val="20"/>
                <w:szCs w:val="20"/>
              </w:rPr>
              <w:t>/</w:t>
            </w:r>
          </w:p>
          <w:p w:rsidR="008878BD" w:rsidRPr="00C60643" w:rsidRDefault="008878BD" w:rsidP="00CD2942">
            <w:pPr>
              <w:keepNext/>
              <w:ind w:left="-68" w:right="-9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 xml:space="preserve">17.22.12.120 </w:t>
            </w:r>
          </w:p>
        </w:tc>
        <w:tc>
          <w:tcPr>
            <w:tcW w:w="800" w:type="dxa"/>
          </w:tcPr>
          <w:p w:rsidR="008878BD" w:rsidRPr="00C60643" w:rsidRDefault="00EA6145" w:rsidP="00CD2942">
            <w:pPr>
              <w:keepNext/>
              <w:ind w:left="-108" w:right="-108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109 032</w:t>
            </w:r>
          </w:p>
        </w:tc>
        <w:tc>
          <w:tcPr>
            <w:tcW w:w="1203" w:type="dxa"/>
          </w:tcPr>
          <w:p w:rsidR="008878BD" w:rsidRPr="00C60643" w:rsidRDefault="008D4DC1" w:rsidP="00CD2942">
            <w:pPr>
              <w:keepNext/>
              <w:ind w:left="-89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3946" w:type="dxa"/>
          </w:tcPr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Подгузники должны быть изготовлены в соответствии с соответствии с требованиями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 </w:t>
            </w:r>
            <w:r w:rsidRPr="00C60643">
              <w:rPr>
                <w:sz w:val="20"/>
                <w:szCs w:val="20"/>
              </w:rPr>
              <w:t xml:space="preserve">Национальный стандарт Российской Федерации. </w:t>
            </w: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Подгузники детские. Общие технические условия (далее -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52557-2020) по технической документации (технологический регламент, техническое описание и т.п.) на конкретный подгузник и / или группу подгузников.</w:t>
            </w:r>
          </w:p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При необходимости на подгузники утверждают образец – эталон по ГОСТ 15.009-91 </w:t>
            </w:r>
            <w:r w:rsidRPr="00C60643">
              <w:rPr>
                <w:sz w:val="20"/>
                <w:szCs w:val="20"/>
              </w:rPr>
              <w:t xml:space="preserve">Межгосударственный стандарт. </w:t>
            </w:r>
            <w:r w:rsidRPr="00C60643">
              <w:rPr>
                <w:spacing w:val="-2"/>
                <w:kern w:val="20"/>
                <w:sz w:val="20"/>
                <w:szCs w:val="20"/>
              </w:rPr>
              <w:t>Система разработки и постановки продукции на производство. Непродовольственные товары народного потребления (необходимость определяет предприятие-изготовитель).</w:t>
            </w:r>
          </w:p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 – многослойное изделие с абсорбирующим слоем одноразового пользования для впитывания и удержания мочи, предназначено для детей-инвалидов с нарушением функции выделения. Форма подгузника должна соответствовать развертке нижней части торса тела ребенка с дополнительным увеличением площади на запас боковых частей.</w:t>
            </w:r>
          </w:p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Подгузники должны пропускать воздух, но удерживать влагу.</w:t>
            </w:r>
          </w:p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Внутренняя поверхность подгузников должна быть из </w:t>
            </w:r>
            <w:proofErr w:type="spellStart"/>
            <w:r w:rsidRPr="00C60643">
              <w:rPr>
                <w:spacing w:val="-2"/>
                <w:kern w:val="20"/>
                <w:sz w:val="20"/>
                <w:szCs w:val="20"/>
              </w:rPr>
              <w:t>гипоаллергенного</w:t>
            </w:r>
            <w:proofErr w:type="spell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нетканого материала (или другого гидрофобного материала с показателями качества, обеспечивающими изготовление подгузников в соответствии с требованиями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52557-2020), пропускающего влагу в одном направлении и обеспечивающего сухость кожи ребенка и защиту от раздражения при соприкосновении с мочой и калом.</w:t>
            </w:r>
          </w:p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Подгузники закрывают боковые поверхности бедер, крепятся по бокам.</w:t>
            </w:r>
          </w:p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Подгузник должен быть оснащен застежками-липучками, </w:t>
            </w:r>
            <w:r w:rsidRPr="00C60643">
              <w:rPr>
                <w:spacing w:val="-2"/>
                <w:kern w:val="20"/>
                <w:sz w:val="20"/>
                <w:szCs w:val="20"/>
              </w:rPr>
              <w:lastRenderedPageBreak/>
              <w:t>водонепроницаемыми защитными барьерами по бокам, эластичным поясом на талии, препятствующими протеканию.</w:t>
            </w:r>
          </w:p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В подгузниках не допускаются механические повреждения.</w:t>
            </w:r>
          </w:p>
          <w:p w:rsidR="008D4DC1" w:rsidRPr="00C60643" w:rsidRDefault="008D4DC1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Показатели, обеспечивающие функциональное назначение подгузников должны соответствовать требованиям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52557-2020:</w:t>
            </w:r>
          </w:p>
          <w:p w:rsidR="009A6433" w:rsidRPr="00C60643" w:rsidRDefault="009A6433" w:rsidP="008D4DC1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</w:p>
          <w:tbl>
            <w:tblPr>
              <w:tblW w:w="3815" w:type="dxa"/>
              <w:jc w:val="center"/>
              <w:tblInd w:w="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2272"/>
            </w:tblGrid>
            <w:tr w:rsidR="009A6433" w:rsidRPr="00C60643" w:rsidTr="008A56AF">
              <w:trPr>
                <w:trHeight w:val="476"/>
                <w:jc w:val="center"/>
              </w:trPr>
              <w:tc>
                <w:tcPr>
                  <w:tcW w:w="1543" w:type="dxa"/>
                  <w:vMerge w:val="restart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для детей не старше одного года, ясельного, дошкольного и школьного возраста</w:t>
                  </w:r>
                </w:p>
              </w:tc>
            </w:tr>
            <w:tr w:rsidR="009A6433" w:rsidRPr="00C60643" w:rsidTr="008A56AF">
              <w:trPr>
                <w:trHeight w:val="70"/>
                <w:jc w:val="center"/>
              </w:trPr>
              <w:tc>
                <w:tcPr>
                  <w:tcW w:w="1543" w:type="dxa"/>
                  <w:vMerge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больших размеров (Подгузники для детей весом до 20 кг)</w:t>
                  </w:r>
                </w:p>
              </w:tc>
            </w:tr>
            <w:tr w:rsidR="009A6433" w:rsidRPr="00C60643" w:rsidTr="008A56AF">
              <w:trPr>
                <w:trHeight w:val="88"/>
                <w:jc w:val="center"/>
              </w:trPr>
              <w:tc>
                <w:tcPr>
                  <w:tcW w:w="1543" w:type="dxa"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 xml:space="preserve">1. Обратная сорбция, </w:t>
                  </w:r>
                  <w:proofErr w:type="gramStart"/>
                  <w:r w:rsidRPr="00C60643">
                    <w:rPr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C60643">
                    <w:rPr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9A6433" w:rsidRPr="00C60643" w:rsidTr="008A56AF">
              <w:trPr>
                <w:trHeight w:val="377"/>
                <w:jc w:val="center"/>
              </w:trPr>
              <w:tc>
                <w:tcPr>
                  <w:tcW w:w="1543" w:type="dxa"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 xml:space="preserve">2. Время впитывания, </w:t>
                  </w:r>
                  <w:proofErr w:type="gramStart"/>
                  <w:r w:rsidRPr="00C60643">
                    <w:rPr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C60643">
                    <w:rPr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A6433" w:rsidRPr="00C60643" w:rsidTr="008A56AF">
              <w:trPr>
                <w:trHeight w:val="377"/>
                <w:jc w:val="center"/>
              </w:trPr>
              <w:tc>
                <w:tcPr>
                  <w:tcW w:w="1543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</w:rPr>
                    <w:t xml:space="preserve">3. Изменение </w:t>
                  </w:r>
                  <w:proofErr w:type="spellStart"/>
                  <w:r w:rsidRPr="00C60643">
                    <w:rPr>
                      <w:sz w:val="20"/>
                      <w:szCs w:val="20"/>
                    </w:rPr>
                    <w:t>pH</w:t>
                  </w:r>
                  <w:proofErr w:type="spellEnd"/>
                  <w:r w:rsidRPr="00C60643">
                    <w:rPr>
                      <w:sz w:val="20"/>
                      <w:szCs w:val="20"/>
                    </w:rPr>
                    <w:t xml:space="preserve"> водной вытяжки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</w:rPr>
                    <w:t>Не более +/-1 ед.</w:t>
                  </w:r>
                </w:p>
              </w:tc>
            </w:tr>
          </w:tbl>
          <w:p w:rsidR="008878BD" w:rsidRPr="00C60643" w:rsidRDefault="008878BD" w:rsidP="009A643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8BD" w:rsidRPr="00C60643" w:rsidRDefault="008878BD" w:rsidP="00CD2942">
            <w:pPr>
              <w:keepNext/>
              <w:ind w:left="-37" w:right="-5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8878BD" w:rsidRPr="00C60643" w:rsidTr="00960100">
        <w:trPr>
          <w:trHeight w:val="22"/>
          <w:jc w:val="center"/>
        </w:trPr>
        <w:tc>
          <w:tcPr>
            <w:tcW w:w="659" w:type="dxa"/>
          </w:tcPr>
          <w:p w:rsidR="008878BD" w:rsidRPr="00C60643" w:rsidRDefault="008878BD" w:rsidP="00CD2942">
            <w:pPr>
              <w:keepNext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99" w:type="dxa"/>
          </w:tcPr>
          <w:p w:rsidR="008D4DC1" w:rsidRPr="00C60643" w:rsidRDefault="008878BD" w:rsidP="00960100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color w:val="000000"/>
                <w:sz w:val="20"/>
                <w:szCs w:val="20"/>
              </w:rPr>
              <w:t>Наименование по коду КТРУ: Подгузники детские</w:t>
            </w:r>
          </w:p>
          <w:p w:rsidR="008D4DC1" w:rsidRPr="00C60643" w:rsidRDefault="008D4DC1" w:rsidP="009601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4DC1" w:rsidRPr="00C60643" w:rsidRDefault="008878BD" w:rsidP="00960100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color w:val="000000"/>
                <w:sz w:val="20"/>
                <w:szCs w:val="20"/>
              </w:rPr>
              <w:t>Приказу Министерства труда и социальной защиты Российской Федерации от 13.02.2018 № 86н:</w:t>
            </w:r>
          </w:p>
          <w:p w:rsidR="008878BD" w:rsidRPr="00C60643" w:rsidRDefault="009A6433" w:rsidP="00960100">
            <w:pPr>
              <w:jc w:val="center"/>
              <w:rPr>
                <w:color w:val="000000"/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Подгузники для детей весом свыше 20 кг</w:t>
            </w:r>
          </w:p>
        </w:tc>
        <w:tc>
          <w:tcPr>
            <w:tcW w:w="1229" w:type="dxa"/>
          </w:tcPr>
          <w:p w:rsidR="008878BD" w:rsidRPr="00C60643" w:rsidRDefault="00610750" w:rsidP="00CD2942">
            <w:pPr>
              <w:keepNext/>
              <w:ind w:left="-68" w:right="-92"/>
              <w:jc w:val="center"/>
              <w:rPr>
                <w:sz w:val="20"/>
                <w:szCs w:val="20"/>
              </w:rPr>
            </w:pPr>
            <w:hyperlink r:id="rId9" w:tgtFrame="_blank" w:history="1">
              <w:r w:rsidR="008878BD" w:rsidRPr="00C60643">
                <w:rPr>
                  <w:color w:val="000000" w:themeColor="text1"/>
                  <w:sz w:val="20"/>
                  <w:szCs w:val="20"/>
                </w:rPr>
                <w:t>17.22.12.120-00000001</w:t>
              </w:r>
            </w:hyperlink>
            <w:r w:rsidR="008878BD" w:rsidRPr="00C60643">
              <w:rPr>
                <w:sz w:val="20"/>
                <w:szCs w:val="20"/>
              </w:rPr>
              <w:t>/</w:t>
            </w:r>
          </w:p>
          <w:p w:rsidR="008878BD" w:rsidRPr="00C60643" w:rsidRDefault="008878BD" w:rsidP="00CD2942">
            <w:pPr>
              <w:keepNext/>
              <w:ind w:left="-68" w:right="-9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 xml:space="preserve">17.22.12.120 </w:t>
            </w:r>
          </w:p>
        </w:tc>
        <w:tc>
          <w:tcPr>
            <w:tcW w:w="800" w:type="dxa"/>
          </w:tcPr>
          <w:p w:rsidR="008878BD" w:rsidRPr="00C60643" w:rsidRDefault="009A6433" w:rsidP="00CD2942">
            <w:pPr>
              <w:keepNext/>
              <w:ind w:left="-108" w:right="-108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82 112</w:t>
            </w:r>
          </w:p>
        </w:tc>
        <w:tc>
          <w:tcPr>
            <w:tcW w:w="1203" w:type="dxa"/>
          </w:tcPr>
          <w:p w:rsidR="008878BD" w:rsidRPr="00C60643" w:rsidRDefault="009A6433" w:rsidP="00CD2942">
            <w:pPr>
              <w:keepNext/>
              <w:ind w:left="-89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3946" w:type="dxa"/>
          </w:tcPr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Подгузники должны быть изготовлены в соответствии с требованиями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 </w:t>
            </w:r>
            <w:r w:rsidRPr="00C60643">
              <w:rPr>
                <w:sz w:val="20"/>
                <w:szCs w:val="20"/>
              </w:rPr>
              <w:t xml:space="preserve">Национальный стандарт Российской Федерации. </w:t>
            </w: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Подгузники детские. Общие технические условия (далее -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52557-2020) по технической документации (технологический регламент, техническое описание и т.п.) на конкретный подгузник и / или группу подгузников.</w:t>
            </w:r>
          </w:p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При необходимости на подгузники утверждают образец – эталон по ГОСТ 15.009-91 </w:t>
            </w:r>
            <w:r w:rsidRPr="00C60643">
              <w:rPr>
                <w:sz w:val="20"/>
                <w:szCs w:val="20"/>
              </w:rPr>
              <w:t xml:space="preserve">Межгосударственный стандарт. </w:t>
            </w:r>
            <w:r w:rsidRPr="00C60643">
              <w:rPr>
                <w:spacing w:val="-2"/>
                <w:kern w:val="20"/>
                <w:sz w:val="20"/>
                <w:szCs w:val="20"/>
              </w:rPr>
              <w:t>Система разработки и постановки продукции на производство. Непродовольственные товары народного потребления (необходимость определяет предприятие-изготовитель).</w:t>
            </w:r>
          </w:p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 – многослойное изделие с абсорбирующим слоем одноразового пользования для впитывания и удержания мочи, предназначено для детей-инвалидов с нарушением функции выделения. Форма подгузника должна соответствовать развертке нижней части торса тела ребенка с дополнительным увеличением площади на запас боковых частей.</w:t>
            </w:r>
          </w:p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Подгузники должны пропускать воздух, но удерживать влагу.</w:t>
            </w:r>
          </w:p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Внутренняя поверхность подгузников должна быть из </w:t>
            </w:r>
            <w:proofErr w:type="spellStart"/>
            <w:r w:rsidRPr="00C60643">
              <w:rPr>
                <w:spacing w:val="-2"/>
                <w:kern w:val="20"/>
                <w:sz w:val="20"/>
                <w:szCs w:val="20"/>
              </w:rPr>
              <w:t>гипоаллергенного</w:t>
            </w:r>
            <w:proofErr w:type="spell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нетканого материала (или другого гидрофобного материала с показателями качества, обеспечивающими изготовление подгузников в соответствии с требованиями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52557-2020), пропускающего влагу в одном направлении и обеспечивающего сухость кожи ребенка и защиту от раздражения при соприкосновении с мочой и калом.</w:t>
            </w:r>
          </w:p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Подгузники закрывают боковые поверхности бедер, крепятся по бокам.</w:t>
            </w:r>
          </w:p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lastRenderedPageBreak/>
              <w:t>Подгузник должен быть оснащен застежками-липучками, водонепроницаемыми защитными барьерами по бокам, эластичным поясом на талии, препятствующими протеканию.</w:t>
            </w:r>
          </w:p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>В подгузниках не допускаются механические повреждения.</w:t>
            </w:r>
          </w:p>
          <w:p w:rsidR="009A6433" w:rsidRPr="00C60643" w:rsidRDefault="009A6433" w:rsidP="009A6433">
            <w:pPr>
              <w:pStyle w:val="caaieiaie11"/>
              <w:keepNext/>
              <w:widowControl w:val="0"/>
              <w:tabs>
                <w:tab w:val="left" w:pos="1979"/>
              </w:tabs>
              <w:suppressAutoHyphens w:val="0"/>
              <w:spacing w:line="240" w:lineRule="auto"/>
              <w:ind w:firstLine="2"/>
              <w:rPr>
                <w:spacing w:val="-2"/>
                <w:kern w:val="20"/>
                <w:sz w:val="20"/>
                <w:szCs w:val="20"/>
              </w:rPr>
            </w:pPr>
            <w:r w:rsidRPr="00C60643">
              <w:rPr>
                <w:spacing w:val="-2"/>
                <w:kern w:val="20"/>
                <w:sz w:val="20"/>
                <w:szCs w:val="20"/>
              </w:rPr>
              <w:t xml:space="preserve">Показатели, обеспечивающие функциональное назначение подгузников должны соответствовать требованиям ГОСТ </w:t>
            </w:r>
            <w:proofErr w:type="gramStart"/>
            <w:r w:rsidRPr="00C60643">
              <w:rPr>
                <w:spacing w:val="-2"/>
                <w:kern w:val="20"/>
                <w:sz w:val="20"/>
                <w:szCs w:val="20"/>
              </w:rPr>
              <w:t>Р</w:t>
            </w:r>
            <w:proofErr w:type="gramEnd"/>
            <w:r w:rsidRPr="00C60643">
              <w:rPr>
                <w:spacing w:val="-2"/>
                <w:kern w:val="20"/>
                <w:sz w:val="20"/>
                <w:szCs w:val="20"/>
              </w:rPr>
              <w:t xml:space="preserve"> 52557-2020:</w:t>
            </w:r>
          </w:p>
          <w:tbl>
            <w:tblPr>
              <w:tblW w:w="3825" w:type="dxa"/>
              <w:jc w:val="center"/>
              <w:tblInd w:w="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272"/>
            </w:tblGrid>
            <w:tr w:rsidR="009A6433" w:rsidRPr="00C60643" w:rsidTr="009A6433">
              <w:trPr>
                <w:trHeight w:val="476"/>
                <w:jc w:val="center"/>
              </w:trPr>
              <w:tc>
                <w:tcPr>
                  <w:tcW w:w="1553" w:type="dxa"/>
                  <w:vMerge w:val="restart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для детей не старше одного года, ясельного, дошкольного и школьного возраста</w:t>
                  </w:r>
                </w:p>
              </w:tc>
            </w:tr>
            <w:tr w:rsidR="009A6433" w:rsidRPr="00C60643" w:rsidTr="009A6433">
              <w:trPr>
                <w:trHeight w:val="70"/>
                <w:jc w:val="center"/>
              </w:trPr>
              <w:tc>
                <w:tcPr>
                  <w:tcW w:w="1553" w:type="dxa"/>
                  <w:vMerge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сверхбольших размеров (Подгузники для детей весом свыше 20 кг.)</w:t>
                  </w:r>
                </w:p>
              </w:tc>
            </w:tr>
            <w:tr w:rsidR="009A6433" w:rsidRPr="00C60643" w:rsidTr="009A6433">
              <w:trPr>
                <w:trHeight w:val="88"/>
                <w:jc w:val="center"/>
              </w:trPr>
              <w:tc>
                <w:tcPr>
                  <w:tcW w:w="1553" w:type="dxa"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 xml:space="preserve">1. Обратная сорбция,  </w:t>
                  </w:r>
                  <w:proofErr w:type="gramStart"/>
                  <w:r w:rsidRPr="00C60643">
                    <w:rPr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C60643">
                    <w:rPr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9A6433" w:rsidRPr="00C60643" w:rsidTr="009A6433">
              <w:trPr>
                <w:trHeight w:val="377"/>
                <w:jc w:val="center"/>
              </w:trPr>
              <w:tc>
                <w:tcPr>
                  <w:tcW w:w="1553" w:type="dxa"/>
                  <w:hideMark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 xml:space="preserve">2. Время впитывания, </w:t>
                  </w:r>
                  <w:proofErr w:type="gramStart"/>
                  <w:r w:rsidRPr="00C60643">
                    <w:rPr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C60643">
                    <w:rPr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A6433" w:rsidRPr="00C60643" w:rsidTr="009A6433">
              <w:trPr>
                <w:trHeight w:val="377"/>
                <w:jc w:val="center"/>
              </w:trPr>
              <w:tc>
                <w:tcPr>
                  <w:tcW w:w="1553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</w:rPr>
                    <w:t xml:space="preserve">3. Изменение </w:t>
                  </w:r>
                  <w:proofErr w:type="spellStart"/>
                  <w:r w:rsidRPr="00C60643">
                    <w:rPr>
                      <w:sz w:val="20"/>
                      <w:szCs w:val="20"/>
                    </w:rPr>
                    <w:t>pH</w:t>
                  </w:r>
                  <w:proofErr w:type="spellEnd"/>
                  <w:r w:rsidRPr="00C60643">
                    <w:rPr>
                      <w:sz w:val="20"/>
                      <w:szCs w:val="20"/>
                    </w:rPr>
                    <w:t xml:space="preserve"> водной вытяжки</w:t>
                  </w:r>
                </w:p>
              </w:tc>
              <w:tc>
                <w:tcPr>
                  <w:tcW w:w="2272" w:type="dxa"/>
                </w:tcPr>
                <w:p w:rsidR="009A6433" w:rsidRPr="00C60643" w:rsidRDefault="009A6433" w:rsidP="008A56AF">
                  <w:pPr>
                    <w:keepNext/>
                    <w:widowControl w:val="0"/>
                    <w:ind w:left="-94" w:right="-87" w:firstLine="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60643">
                    <w:rPr>
                      <w:sz w:val="20"/>
                      <w:szCs w:val="20"/>
                    </w:rPr>
                    <w:t>Не более +/-1 ед.</w:t>
                  </w:r>
                </w:p>
              </w:tc>
            </w:tr>
          </w:tbl>
          <w:p w:rsidR="008878BD" w:rsidRPr="00C60643" w:rsidRDefault="008878BD" w:rsidP="009A643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78BD" w:rsidRPr="00C60643" w:rsidRDefault="008878BD" w:rsidP="00CD2942">
            <w:pPr>
              <w:keepNext/>
              <w:ind w:left="-37" w:right="-52"/>
              <w:jc w:val="center"/>
              <w:rPr>
                <w:sz w:val="20"/>
                <w:szCs w:val="20"/>
              </w:rPr>
            </w:pPr>
            <w:r w:rsidRPr="00C60643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AA2B12" w:rsidRPr="00C60643" w:rsidRDefault="00AA2B12" w:rsidP="00CD2942">
      <w:pPr>
        <w:keepNext/>
        <w:tabs>
          <w:tab w:val="left" w:pos="1916"/>
        </w:tabs>
        <w:suppressAutoHyphens w:val="0"/>
        <w:ind w:firstLine="851"/>
        <w:jc w:val="both"/>
      </w:pPr>
    </w:p>
    <w:p w:rsidR="00F761F9" w:rsidRPr="00C60643" w:rsidRDefault="00F761F9" w:rsidP="00367610">
      <w:pPr>
        <w:pStyle w:val="ac"/>
        <w:keepNext/>
        <w:keepLines/>
        <w:widowControl w:val="0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F761F9" w:rsidRPr="00C60643" w:rsidRDefault="00F761F9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Обоснование необходимости использования других показателей, требований, условных обозначений и терминологии:</w:t>
      </w:r>
    </w:p>
    <w:p w:rsidR="00F761F9" w:rsidRPr="00C60643" w:rsidRDefault="00F761F9" w:rsidP="00367610">
      <w:pPr>
        <w:keepNext/>
        <w:widowControl w:val="0"/>
        <w:tabs>
          <w:tab w:val="left" w:pos="284"/>
        </w:tabs>
        <w:ind w:firstLine="709"/>
        <w:jc w:val="both"/>
      </w:pPr>
      <w:proofErr w:type="gramStart"/>
      <w:r w:rsidRPr="00C60643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F761F9" w:rsidRPr="00C60643" w:rsidRDefault="00F761F9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Описание функциональных и технических характеристик закупаемых товаров разработано с учетом индивидуальных программам реабилитации Получателей.</w:t>
      </w:r>
    </w:p>
    <w:p w:rsidR="00F761F9" w:rsidRPr="00C60643" w:rsidRDefault="00F761F9" w:rsidP="00EE4012">
      <w:pPr>
        <w:keepNext/>
        <w:widowControl w:val="0"/>
        <w:ind w:firstLine="426"/>
        <w:jc w:val="both"/>
      </w:pPr>
    </w:p>
    <w:p w:rsidR="00F761F9" w:rsidRPr="00C60643" w:rsidRDefault="00F761F9" w:rsidP="00F761F9">
      <w:pPr>
        <w:pStyle w:val="aa"/>
        <w:keepNext/>
        <w:keepLines/>
        <w:widowControl w:val="0"/>
        <w:ind w:left="0" w:right="-285"/>
        <w:jc w:val="center"/>
        <w:rPr>
          <w:b/>
        </w:rPr>
      </w:pPr>
      <w:r w:rsidRPr="00C60643">
        <w:rPr>
          <w:b/>
        </w:rPr>
        <w:t>Условия и срок поставки Товара</w:t>
      </w:r>
    </w:p>
    <w:p w:rsidR="00F761F9" w:rsidRPr="00C60643" w:rsidRDefault="00F761F9" w:rsidP="00F761F9">
      <w:pPr>
        <w:pStyle w:val="ac"/>
        <w:keepNext/>
        <w:keepLines/>
        <w:widowControl w:val="0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1F9" w:rsidRPr="00C60643" w:rsidRDefault="00F761F9" w:rsidP="00F761F9">
      <w:pPr>
        <w:pStyle w:val="ac"/>
        <w:keepNext/>
        <w:keepLines/>
        <w:widowControl w:val="0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</w:rPr>
        <w:t>Место доставки товара:</w:t>
      </w:r>
    </w:p>
    <w:p w:rsidR="00F761F9" w:rsidRPr="00C60643" w:rsidRDefault="00F761F9" w:rsidP="00F761F9">
      <w:pPr>
        <w:pStyle w:val="ac"/>
        <w:keepNext/>
        <w:keepLines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с программами реабилитации, в пунктах выдачи товара или при необходимости до места жительства Получателей технических средств реабилитации на условиях DD</w:t>
      </w:r>
      <w:proofErr w:type="gramStart"/>
      <w:r w:rsidRPr="00C606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0643">
        <w:rPr>
          <w:rFonts w:ascii="Times New Roman" w:hAnsi="Times New Roman" w:cs="Times New Roman"/>
          <w:sz w:val="24"/>
          <w:szCs w:val="24"/>
        </w:rPr>
        <w:t>.</w:t>
      </w:r>
    </w:p>
    <w:p w:rsidR="00F761F9" w:rsidRPr="00C60643" w:rsidRDefault="00F761F9" w:rsidP="00F761F9">
      <w:pPr>
        <w:pStyle w:val="ac"/>
        <w:keepNext/>
        <w:keepLines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F761F9" w:rsidRPr="00C60643" w:rsidRDefault="00F761F9" w:rsidP="00F761F9">
      <w:pPr>
        <w:pStyle w:val="ac"/>
        <w:keepNext/>
        <w:keepLines/>
        <w:ind w:right="-285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064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поставки товара:</w:t>
      </w:r>
    </w:p>
    <w:p w:rsidR="00F761F9" w:rsidRPr="00C60643" w:rsidRDefault="00F761F9" w:rsidP="00F761F9">
      <w:pPr>
        <w:pStyle w:val="ac"/>
        <w:keepNext/>
        <w:keepLines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0643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получения</w:t>
      </w:r>
      <w:proofErr w:type="gramEnd"/>
      <w:r w:rsidRPr="00C6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Заказчика реестра Получателей Товара до 01.04.2024 должно быть поставлено 100% общего объема товаров.</w:t>
      </w:r>
    </w:p>
    <w:p w:rsidR="00F761F9" w:rsidRPr="00C60643" w:rsidRDefault="00F761F9" w:rsidP="00F761F9">
      <w:pPr>
        <w:pStyle w:val="ac"/>
        <w:keepNext/>
        <w:keepLines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F761F9" w:rsidRPr="00C60643" w:rsidRDefault="00F761F9" w:rsidP="00F761F9">
      <w:pPr>
        <w:pStyle w:val="ac"/>
        <w:keepNext/>
        <w:keepLines/>
        <w:widowControl w:val="0"/>
        <w:ind w:right="-2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</w:rPr>
        <w:lastRenderedPageBreak/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F761F9" w:rsidRPr="00C60643" w:rsidRDefault="00F761F9" w:rsidP="00EE4012">
      <w:pPr>
        <w:keepNext/>
        <w:widowControl w:val="0"/>
        <w:ind w:firstLine="426"/>
        <w:jc w:val="both"/>
      </w:pPr>
    </w:p>
    <w:p w:rsidR="00F761F9" w:rsidRPr="00C60643" w:rsidRDefault="00F761F9" w:rsidP="00F761F9">
      <w:pPr>
        <w:pStyle w:val="ac"/>
        <w:keepNext/>
        <w:keepLines/>
        <w:widowControl w:val="0"/>
        <w:ind w:right="-285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643">
        <w:rPr>
          <w:rFonts w:ascii="Times New Roman" w:hAnsi="Times New Roman" w:cs="Times New Roman"/>
          <w:b/>
          <w:sz w:val="24"/>
          <w:szCs w:val="24"/>
        </w:rPr>
        <w:t>Требования к маркировке и качеству Товара,</w:t>
      </w:r>
    </w:p>
    <w:p w:rsidR="00F761F9" w:rsidRPr="00C60643" w:rsidRDefault="00F761F9" w:rsidP="00F761F9">
      <w:pPr>
        <w:pStyle w:val="ac"/>
        <w:keepNext/>
        <w:keepLines/>
        <w:widowControl w:val="0"/>
        <w:ind w:right="-285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643">
        <w:rPr>
          <w:rFonts w:ascii="Times New Roman" w:hAnsi="Times New Roman" w:cs="Times New Roman"/>
          <w:b/>
          <w:sz w:val="24"/>
          <w:szCs w:val="24"/>
        </w:rPr>
        <w:t>требования к их безопасности, требования к размерам, упаковке,</w:t>
      </w:r>
    </w:p>
    <w:p w:rsidR="00F761F9" w:rsidRPr="00C60643" w:rsidRDefault="00F761F9" w:rsidP="00F761F9">
      <w:pPr>
        <w:pStyle w:val="ac"/>
        <w:keepNext/>
        <w:keepLines/>
        <w:widowControl w:val="0"/>
        <w:ind w:right="-285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643">
        <w:rPr>
          <w:rFonts w:ascii="Times New Roman" w:hAnsi="Times New Roman" w:cs="Times New Roman"/>
          <w:b/>
          <w:sz w:val="24"/>
          <w:szCs w:val="24"/>
        </w:rPr>
        <w:t>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F761F9" w:rsidRPr="00C60643" w:rsidRDefault="00F761F9" w:rsidP="00EE4012">
      <w:pPr>
        <w:keepNext/>
        <w:widowControl w:val="0"/>
        <w:ind w:firstLine="426"/>
        <w:jc w:val="both"/>
      </w:pPr>
    </w:p>
    <w:p w:rsidR="00367610" w:rsidRPr="00C60643" w:rsidRDefault="00EE4012" w:rsidP="00367610">
      <w:pPr>
        <w:keepNext/>
        <w:widowControl w:val="0"/>
        <w:ind w:firstLine="709"/>
        <w:jc w:val="both"/>
      </w:pPr>
      <w:r w:rsidRPr="00C60643"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367610" w:rsidRPr="00C60643">
        <w:t>:</w:t>
      </w:r>
    </w:p>
    <w:p w:rsidR="006802FB" w:rsidRPr="00C60643" w:rsidRDefault="006802FB" w:rsidP="006802FB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C606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0643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6802FB" w:rsidRPr="00C60643" w:rsidRDefault="006802FB" w:rsidP="006802FB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C606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0643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</w:t>
      </w:r>
    </w:p>
    <w:p w:rsidR="00367610" w:rsidRPr="00C60643" w:rsidRDefault="00EE4012" w:rsidP="00367610">
      <w:pPr>
        <w:keepNext/>
        <w:widowControl w:val="0"/>
        <w:ind w:firstLine="709"/>
        <w:jc w:val="both"/>
      </w:pPr>
      <w:r w:rsidRPr="00C60643">
        <w:t xml:space="preserve">ГОСТ ИСО 10993-1-2021 </w:t>
      </w:r>
      <w:r w:rsidR="006802FB" w:rsidRPr="00C60643">
        <w:t>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367610" w:rsidRPr="00C60643">
        <w:t>,</w:t>
      </w:r>
    </w:p>
    <w:p w:rsidR="00367610" w:rsidRPr="00C60643" w:rsidRDefault="00EE4012" w:rsidP="00367610">
      <w:pPr>
        <w:keepNext/>
        <w:widowControl w:val="0"/>
        <w:ind w:firstLine="709"/>
        <w:jc w:val="both"/>
      </w:pPr>
      <w:r w:rsidRPr="00C60643">
        <w:t xml:space="preserve">ГОСТ ИСО 10993-5-2011 </w:t>
      </w:r>
      <w:r w:rsidR="006802FB" w:rsidRPr="00C60643">
        <w:t xml:space="preserve">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6802FB" w:rsidRPr="00C60643">
        <w:t>цитотоксичность</w:t>
      </w:r>
      <w:proofErr w:type="spellEnd"/>
      <w:r w:rsidR="006802FB" w:rsidRPr="00C60643">
        <w:t xml:space="preserve">: методы </w:t>
      </w:r>
      <w:proofErr w:type="spellStart"/>
      <w:r w:rsidR="006802FB" w:rsidRPr="00C60643">
        <w:t>in</w:t>
      </w:r>
      <w:proofErr w:type="spellEnd"/>
      <w:r w:rsidR="006802FB" w:rsidRPr="00C60643">
        <w:t xml:space="preserve"> </w:t>
      </w:r>
      <w:proofErr w:type="spellStart"/>
      <w:r w:rsidR="006802FB" w:rsidRPr="00C60643">
        <w:t>vitro</w:t>
      </w:r>
      <w:proofErr w:type="spellEnd"/>
      <w:r w:rsidR="00367610" w:rsidRPr="00C60643">
        <w:t>,</w:t>
      </w:r>
    </w:p>
    <w:p w:rsidR="00367610" w:rsidRPr="00C60643" w:rsidRDefault="00EE4012" w:rsidP="00367610">
      <w:pPr>
        <w:keepNext/>
        <w:widowControl w:val="0"/>
        <w:ind w:firstLine="709"/>
        <w:jc w:val="both"/>
      </w:pPr>
      <w:r w:rsidRPr="00C60643">
        <w:t xml:space="preserve">ГОСТ ИСО 10993-10-2011 </w:t>
      </w:r>
      <w:r w:rsidR="00367610" w:rsidRPr="00C60643">
        <w:t>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действия,</w:t>
      </w:r>
    </w:p>
    <w:p w:rsidR="006802FB" w:rsidRPr="00C60643" w:rsidRDefault="006802FB" w:rsidP="006802FB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pacing w:val="-2"/>
          <w:kern w:val="20"/>
          <w:sz w:val="24"/>
          <w:szCs w:val="24"/>
        </w:rPr>
      </w:pPr>
      <w:r w:rsidRPr="00C60643">
        <w:rPr>
          <w:rFonts w:ascii="Times New Roman" w:hAnsi="Times New Roman" w:cs="Times New Roman"/>
          <w:spacing w:val="-2"/>
          <w:kern w:val="20"/>
          <w:sz w:val="24"/>
          <w:szCs w:val="24"/>
        </w:rPr>
        <w:t xml:space="preserve">ГОСТ </w:t>
      </w:r>
      <w:proofErr w:type="gramStart"/>
      <w:r w:rsidRPr="00C60643">
        <w:rPr>
          <w:rFonts w:ascii="Times New Roman" w:hAnsi="Times New Roman" w:cs="Times New Roman"/>
          <w:spacing w:val="-2"/>
          <w:kern w:val="20"/>
          <w:sz w:val="24"/>
          <w:szCs w:val="24"/>
        </w:rPr>
        <w:t>Р</w:t>
      </w:r>
      <w:proofErr w:type="gramEnd"/>
      <w:r w:rsidRPr="00C60643">
        <w:rPr>
          <w:rFonts w:ascii="Times New Roman" w:hAnsi="Times New Roman" w:cs="Times New Roman"/>
          <w:spacing w:val="-2"/>
          <w:kern w:val="20"/>
          <w:sz w:val="24"/>
          <w:szCs w:val="24"/>
        </w:rPr>
        <w:t xml:space="preserve"> 52557-2020 </w:t>
      </w:r>
      <w:r w:rsidRPr="00C60643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</w:t>
      </w:r>
      <w:r w:rsidRPr="00C60643">
        <w:rPr>
          <w:rFonts w:ascii="Times New Roman" w:hAnsi="Times New Roman" w:cs="Times New Roman"/>
          <w:spacing w:val="-2"/>
          <w:kern w:val="20"/>
          <w:sz w:val="24"/>
          <w:szCs w:val="24"/>
        </w:rPr>
        <w:t>Подгузники детские. Общие технические условия;</w:t>
      </w:r>
    </w:p>
    <w:p w:rsidR="006802FB" w:rsidRPr="00C60643" w:rsidRDefault="006802FB" w:rsidP="006802FB">
      <w:pPr>
        <w:pStyle w:val="ac"/>
        <w:keepNext/>
        <w:ind w:right="-11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643">
        <w:rPr>
          <w:rFonts w:ascii="Times New Roman" w:hAnsi="Times New Roman" w:cs="Times New Roman"/>
          <w:sz w:val="24"/>
          <w:szCs w:val="24"/>
          <w:lang w:eastAsia="ru-RU"/>
        </w:rPr>
        <w:t>ГОСТ 31214-2016 М</w:t>
      </w:r>
      <w:r w:rsidRPr="00C60643">
        <w:rPr>
          <w:rFonts w:ascii="Times New Roman" w:hAnsi="Times New Roman" w:cs="Times New Roman"/>
          <w:sz w:val="24"/>
          <w:szCs w:val="24"/>
        </w:rPr>
        <w:t xml:space="preserve">ежгосударственный стандарт. </w:t>
      </w:r>
      <w:hyperlink r:id="rId10" w:history="1">
        <w:r w:rsidRPr="00C60643">
          <w:rPr>
            <w:rFonts w:ascii="Times New Roman" w:hAnsi="Times New Roman" w:cs="Times New Roman"/>
            <w:sz w:val="24"/>
            <w:szCs w:val="24"/>
          </w:rPr>
          <w:t xml:space="preserve">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</w:t>
        </w:r>
        <w:proofErr w:type="spellStart"/>
        <w:r w:rsidRPr="00C60643">
          <w:rPr>
            <w:rFonts w:ascii="Times New Roman" w:hAnsi="Times New Roman" w:cs="Times New Roman"/>
            <w:sz w:val="24"/>
            <w:szCs w:val="24"/>
          </w:rPr>
          <w:t>пирогенность</w:t>
        </w:r>
        <w:proofErr w:type="spellEnd"/>
      </w:hyperlink>
      <w:r w:rsidRPr="00C60643">
        <w:rPr>
          <w:rFonts w:ascii="Times New Roman" w:hAnsi="Times New Roman" w:cs="Times New Roman"/>
          <w:sz w:val="24"/>
          <w:szCs w:val="24"/>
        </w:rPr>
        <w:t>.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proofErr w:type="gramStart"/>
      <w:r w:rsidRPr="00C60643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безопасность для кожных покровов;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эстетичность;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комфортность;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простота пользования.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 xml:space="preserve">Вся информация на упаковке должна быть представлена на русском языке. 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lastRenderedPageBreak/>
        <w:t>Информация в обязательном порядке должна содержать: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наименование товара,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proofErr w:type="gramStart"/>
      <w:r w:rsidRPr="00C60643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сведения об основных потребительских свойствах товара,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правила и условия эффективного и безопасного использования товара (инструкция по применению),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не допускается применение товара, если нарушена упаковка,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Хранение должно осуществляться в соответствии с требованиями, предъявляемыми к данной категории товара.</w:t>
      </w:r>
    </w:p>
    <w:p w:rsidR="00EE4012" w:rsidRPr="00C60643" w:rsidRDefault="00EE4012" w:rsidP="00367610">
      <w:pPr>
        <w:keepNext/>
        <w:widowControl w:val="0"/>
        <w:tabs>
          <w:tab w:val="left" w:pos="284"/>
        </w:tabs>
        <w:ind w:firstLine="709"/>
        <w:jc w:val="both"/>
      </w:pPr>
      <w:r w:rsidRPr="00C60643"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</w:t>
      </w:r>
      <w:r w:rsidR="00F761F9" w:rsidRPr="00C60643">
        <w:t>щими на данном виде транспорта.</w:t>
      </w:r>
    </w:p>
    <w:p w:rsidR="00F761F9" w:rsidRPr="00C60643" w:rsidRDefault="00F761F9" w:rsidP="00EE4012">
      <w:pPr>
        <w:keepNext/>
        <w:widowControl w:val="0"/>
        <w:tabs>
          <w:tab w:val="left" w:pos="284"/>
        </w:tabs>
        <w:ind w:firstLine="426"/>
        <w:jc w:val="both"/>
      </w:pPr>
    </w:p>
    <w:p w:rsidR="00F761F9" w:rsidRPr="00C60643" w:rsidRDefault="00F761F9" w:rsidP="00F761F9">
      <w:pPr>
        <w:pStyle w:val="aa"/>
        <w:keepNext/>
        <w:widowControl w:val="0"/>
        <w:tabs>
          <w:tab w:val="left" w:pos="426"/>
        </w:tabs>
        <w:suppressAutoHyphens w:val="0"/>
        <w:ind w:left="0" w:right="-117" w:firstLine="709"/>
        <w:jc w:val="center"/>
        <w:rPr>
          <w:b/>
        </w:rPr>
      </w:pPr>
      <w:r w:rsidRPr="00C60643">
        <w:rPr>
          <w:b/>
        </w:rPr>
        <w:t>Требования к сроку и (или) объёму предоставления гарантий качества Товара</w:t>
      </w:r>
    </w:p>
    <w:p w:rsidR="00F761F9" w:rsidRPr="00C60643" w:rsidRDefault="00F761F9" w:rsidP="00F761F9">
      <w:pPr>
        <w:pStyle w:val="aa"/>
        <w:keepNext/>
        <w:widowControl w:val="0"/>
        <w:tabs>
          <w:tab w:val="left" w:pos="426"/>
        </w:tabs>
        <w:suppressAutoHyphens w:val="0"/>
        <w:ind w:left="0" w:right="-117" w:firstLine="709"/>
        <w:jc w:val="center"/>
        <w:rPr>
          <w:b/>
        </w:rPr>
      </w:pPr>
    </w:p>
    <w:p w:rsidR="00F761F9" w:rsidRPr="00C60643" w:rsidRDefault="00F761F9" w:rsidP="00F761F9">
      <w:pPr>
        <w:keepNext/>
        <w:widowControl w:val="0"/>
        <w:ind w:firstLine="426"/>
        <w:jc w:val="both"/>
        <w:rPr>
          <w:i/>
        </w:rPr>
      </w:pPr>
      <w:r w:rsidRPr="00C60643">
        <w:t xml:space="preserve">Остаточный срок годности товара на момент выдачи товара должен быть не менее 1 года </w:t>
      </w:r>
      <w:r w:rsidRPr="00C60643">
        <w:rPr>
          <w:i/>
        </w:rPr>
        <w:t>(остаточный</w:t>
      </w:r>
      <w:r w:rsidRPr="00C60643">
        <w:t xml:space="preserve"> </w:t>
      </w:r>
      <w:r w:rsidRPr="00C60643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F761F9" w:rsidRPr="00C60643" w:rsidRDefault="00F761F9" w:rsidP="00F761F9">
      <w:pPr>
        <w:keepNext/>
        <w:widowControl w:val="0"/>
        <w:tabs>
          <w:tab w:val="left" w:pos="284"/>
        </w:tabs>
        <w:ind w:firstLine="426"/>
        <w:jc w:val="both"/>
      </w:pPr>
      <w:r w:rsidRPr="00C60643"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761F9" w:rsidRPr="00C60643" w:rsidRDefault="00F761F9" w:rsidP="00F761F9">
      <w:pPr>
        <w:keepNext/>
        <w:widowControl w:val="0"/>
        <w:ind w:firstLine="426"/>
        <w:jc w:val="both"/>
      </w:pPr>
      <w:r w:rsidRPr="00C60643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F761F9" w:rsidRPr="00F761F9" w:rsidRDefault="00F761F9" w:rsidP="00F761F9">
      <w:pPr>
        <w:keepNext/>
        <w:widowControl w:val="0"/>
        <w:ind w:firstLine="426"/>
        <w:jc w:val="both"/>
      </w:pPr>
      <w:r w:rsidRPr="00C60643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sectPr w:rsidR="00F761F9" w:rsidRPr="00F761F9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DD"/>
    <w:rsid w:val="0000103C"/>
    <w:rsid w:val="0000104F"/>
    <w:rsid w:val="00002980"/>
    <w:rsid w:val="00003398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60D0F"/>
    <w:rsid w:val="00065348"/>
    <w:rsid w:val="00065385"/>
    <w:rsid w:val="0007458D"/>
    <w:rsid w:val="000C17DD"/>
    <w:rsid w:val="000C66FF"/>
    <w:rsid w:val="000E2CA6"/>
    <w:rsid w:val="000E7540"/>
    <w:rsid w:val="000F1C97"/>
    <w:rsid w:val="000F2A28"/>
    <w:rsid w:val="000F614E"/>
    <w:rsid w:val="001028CD"/>
    <w:rsid w:val="00106864"/>
    <w:rsid w:val="001110E2"/>
    <w:rsid w:val="001133E1"/>
    <w:rsid w:val="001163A4"/>
    <w:rsid w:val="0012482F"/>
    <w:rsid w:val="001413C4"/>
    <w:rsid w:val="00170795"/>
    <w:rsid w:val="00170C89"/>
    <w:rsid w:val="00171249"/>
    <w:rsid w:val="001716C4"/>
    <w:rsid w:val="00175E5D"/>
    <w:rsid w:val="00176C7B"/>
    <w:rsid w:val="0017769E"/>
    <w:rsid w:val="00182F6B"/>
    <w:rsid w:val="0019166B"/>
    <w:rsid w:val="001C416F"/>
    <w:rsid w:val="001D6666"/>
    <w:rsid w:val="001E0C0F"/>
    <w:rsid w:val="001E77D2"/>
    <w:rsid w:val="001F4505"/>
    <w:rsid w:val="001F7DA9"/>
    <w:rsid w:val="00203A6C"/>
    <w:rsid w:val="00205F8F"/>
    <w:rsid w:val="00212CDE"/>
    <w:rsid w:val="00214066"/>
    <w:rsid w:val="002170A6"/>
    <w:rsid w:val="00217E3C"/>
    <w:rsid w:val="0023507A"/>
    <w:rsid w:val="00240824"/>
    <w:rsid w:val="002513A8"/>
    <w:rsid w:val="002519A5"/>
    <w:rsid w:val="002619A2"/>
    <w:rsid w:val="002737D6"/>
    <w:rsid w:val="00283DDD"/>
    <w:rsid w:val="00285D8E"/>
    <w:rsid w:val="00297053"/>
    <w:rsid w:val="00297468"/>
    <w:rsid w:val="002A2E62"/>
    <w:rsid w:val="002A68E3"/>
    <w:rsid w:val="002B5B69"/>
    <w:rsid w:val="002B72CD"/>
    <w:rsid w:val="002C4CD8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2F0B"/>
    <w:rsid w:val="00323E28"/>
    <w:rsid w:val="0034467D"/>
    <w:rsid w:val="003471BC"/>
    <w:rsid w:val="0035033A"/>
    <w:rsid w:val="00351E64"/>
    <w:rsid w:val="0036487D"/>
    <w:rsid w:val="00367610"/>
    <w:rsid w:val="00371C93"/>
    <w:rsid w:val="003720A3"/>
    <w:rsid w:val="00373383"/>
    <w:rsid w:val="0038138E"/>
    <w:rsid w:val="00383099"/>
    <w:rsid w:val="00385D4F"/>
    <w:rsid w:val="00390596"/>
    <w:rsid w:val="00397920"/>
    <w:rsid w:val="00397A7C"/>
    <w:rsid w:val="003A3812"/>
    <w:rsid w:val="003B47FA"/>
    <w:rsid w:val="003C0009"/>
    <w:rsid w:val="003C316E"/>
    <w:rsid w:val="003C33B6"/>
    <w:rsid w:val="003C34C8"/>
    <w:rsid w:val="003C4555"/>
    <w:rsid w:val="003C5323"/>
    <w:rsid w:val="003D5EED"/>
    <w:rsid w:val="003D604D"/>
    <w:rsid w:val="003D7B05"/>
    <w:rsid w:val="003E05E4"/>
    <w:rsid w:val="003E54FA"/>
    <w:rsid w:val="003E6044"/>
    <w:rsid w:val="003F058C"/>
    <w:rsid w:val="003F0AC7"/>
    <w:rsid w:val="00402B16"/>
    <w:rsid w:val="00403DD4"/>
    <w:rsid w:val="004125B1"/>
    <w:rsid w:val="004131E6"/>
    <w:rsid w:val="00417DA4"/>
    <w:rsid w:val="00434A5F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456B"/>
    <w:rsid w:val="004C6C7F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3006E"/>
    <w:rsid w:val="00531A9E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85A"/>
    <w:rsid w:val="005B6C70"/>
    <w:rsid w:val="005C1B1D"/>
    <w:rsid w:val="005C3A21"/>
    <w:rsid w:val="005C5522"/>
    <w:rsid w:val="005D23F8"/>
    <w:rsid w:val="005E1FED"/>
    <w:rsid w:val="005F413C"/>
    <w:rsid w:val="005F5D11"/>
    <w:rsid w:val="0060215B"/>
    <w:rsid w:val="006023E1"/>
    <w:rsid w:val="00610750"/>
    <w:rsid w:val="00611534"/>
    <w:rsid w:val="00615300"/>
    <w:rsid w:val="00615331"/>
    <w:rsid w:val="006233D4"/>
    <w:rsid w:val="0063039E"/>
    <w:rsid w:val="00630A4A"/>
    <w:rsid w:val="006318CB"/>
    <w:rsid w:val="00631D4E"/>
    <w:rsid w:val="00632A3D"/>
    <w:rsid w:val="00644B30"/>
    <w:rsid w:val="00651EA0"/>
    <w:rsid w:val="00656334"/>
    <w:rsid w:val="00662ABA"/>
    <w:rsid w:val="00666E64"/>
    <w:rsid w:val="00676896"/>
    <w:rsid w:val="006801BB"/>
    <w:rsid w:val="006802FB"/>
    <w:rsid w:val="0068232A"/>
    <w:rsid w:val="00682DB9"/>
    <w:rsid w:val="006873BB"/>
    <w:rsid w:val="00687C3C"/>
    <w:rsid w:val="00691F91"/>
    <w:rsid w:val="006937B6"/>
    <w:rsid w:val="006A7175"/>
    <w:rsid w:val="006B265F"/>
    <w:rsid w:val="006B4091"/>
    <w:rsid w:val="006C4D69"/>
    <w:rsid w:val="006C6BC2"/>
    <w:rsid w:val="006C7FE2"/>
    <w:rsid w:val="006D09A4"/>
    <w:rsid w:val="006D3FDE"/>
    <w:rsid w:val="006D6E13"/>
    <w:rsid w:val="006E4C87"/>
    <w:rsid w:val="006F55A5"/>
    <w:rsid w:val="006F675A"/>
    <w:rsid w:val="0070583D"/>
    <w:rsid w:val="00716EAB"/>
    <w:rsid w:val="00721F85"/>
    <w:rsid w:val="007260F7"/>
    <w:rsid w:val="0072632F"/>
    <w:rsid w:val="00730862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14F09"/>
    <w:rsid w:val="00817CED"/>
    <w:rsid w:val="00820D75"/>
    <w:rsid w:val="008304B0"/>
    <w:rsid w:val="00831359"/>
    <w:rsid w:val="00834E0F"/>
    <w:rsid w:val="00844319"/>
    <w:rsid w:val="008545D0"/>
    <w:rsid w:val="0086101C"/>
    <w:rsid w:val="00863F07"/>
    <w:rsid w:val="00871617"/>
    <w:rsid w:val="00877C74"/>
    <w:rsid w:val="00881FCB"/>
    <w:rsid w:val="008878BD"/>
    <w:rsid w:val="00887D38"/>
    <w:rsid w:val="00887D6C"/>
    <w:rsid w:val="008972EA"/>
    <w:rsid w:val="008B0763"/>
    <w:rsid w:val="008B2BA1"/>
    <w:rsid w:val="008B412C"/>
    <w:rsid w:val="008B4F59"/>
    <w:rsid w:val="008C58F5"/>
    <w:rsid w:val="008C5B54"/>
    <w:rsid w:val="008D4DC1"/>
    <w:rsid w:val="008D6FE7"/>
    <w:rsid w:val="008D7635"/>
    <w:rsid w:val="008F1ED3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360A8"/>
    <w:rsid w:val="009404EF"/>
    <w:rsid w:val="0095780D"/>
    <w:rsid w:val="00960100"/>
    <w:rsid w:val="00971A3D"/>
    <w:rsid w:val="0097360B"/>
    <w:rsid w:val="0097384C"/>
    <w:rsid w:val="00977BB2"/>
    <w:rsid w:val="00995C99"/>
    <w:rsid w:val="009979F1"/>
    <w:rsid w:val="009A4A48"/>
    <w:rsid w:val="009A6320"/>
    <w:rsid w:val="009A6433"/>
    <w:rsid w:val="009B1F14"/>
    <w:rsid w:val="009B4AFB"/>
    <w:rsid w:val="009C6219"/>
    <w:rsid w:val="009C66F2"/>
    <w:rsid w:val="009D597F"/>
    <w:rsid w:val="009E39E3"/>
    <w:rsid w:val="009E7067"/>
    <w:rsid w:val="009F0D08"/>
    <w:rsid w:val="009F34A4"/>
    <w:rsid w:val="00A0087A"/>
    <w:rsid w:val="00A00B85"/>
    <w:rsid w:val="00A03C2F"/>
    <w:rsid w:val="00A145CF"/>
    <w:rsid w:val="00A16C4A"/>
    <w:rsid w:val="00A16F73"/>
    <w:rsid w:val="00A2111B"/>
    <w:rsid w:val="00A21296"/>
    <w:rsid w:val="00A4203A"/>
    <w:rsid w:val="00A42146"/>
    <w:rsid w:val="00A4648C"/>
    <w:rsid w:val="00A504A8"/>
    <w:rsid w:val="00A5296C"/>
    <w:rsid w:val="00A55BF6"/>
    <w:rsid w:val="00A6241B"/>
    <w:rsid w:val="00A63069"/>
    <w:rsid w:val="00A636FE"/>
    <w:rsid w:val="00A71CD9"/>
    <w:rsid w:val="00A814CD"/>
    <w:rsid w:val="00A871CD"/>
    <w:rsid w:val="00A90E6A"/>
    <w:rsid w:val="00A94AA1"/>
    <w:rsid w:val="00AA0235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B759C"/>
    <w:rsid w:val="00AC3432"/>
    <w:rsid w:val="00AC6E6B"/>
    <w:rsid w:val="00AD2782"/>
    <w:rsid w:val="00AD6502"/>
    <w:rsid w:val="00AE0A58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38AF"/>
    <w:rsid w:val="00B64AAA"/>
    <w:rsid w:val="00B941BE"/>
    <w:rsid w:val="00B9780D"/>
    <w:rsid w:val="00BC0757"/>
    <w:rsid w:val="00BC23B0"/>
    <w:rsid w:val="00BC5A67"/>
    <w:rsid w:val="00BC5E4F"/>
    <w:rsid w:val="00BD2B4C"/>
    <w:rsid w:val="00BD5E68"/>
    <w:rsid w:val="00BD758F"/>
    <w:rsid w:val="00BE138B"/>
    <w:rsid w:val="00BF01C4"/>
    <w:rsid w:val="00BF6EA3"/>
    <w:rsid w:val="00C01002"/>
    <w:rsid w:val="00C20BA5"/>
    <w:rsid w:val="00C21B69"/>
    <w:rsid w:val="00C2391E"/>
    <w:rsid w:val="00C30C5D"/>
    <w:rsid w:val="00C32EF8"/>
    <w:rsid w:val="00C51C38"/>
    <w:rsid w:val="00C60643"/>
    <w:rsid w:val="00C66ED1"/>
    <w:rsid w:val="00C72E50"/>
    <w:rsid w:val="00C7508F"/>
    <w:rsid w:val="00C84A3E"/>
    <w:rsid w:val="00C9377D"/>
    <w:rsid w:val="00C97C1E"/>
    <w:rsid w:val="00CA2B3B"/>
    <w:rsid w:val="00CA4A4B"/>
    <w:rsid w:val="00CA517B"/>
    <w:rsid w:val="00CA5E56"/>
    <w:rsid w:val="00CA73C9"/>
    <w:rsid w:val="00CA7C72"/>
    <w:rsid w:val="00CB4835"/>
    <w:rsid w:val="00CC4DF5"/>
    <w:rsid w:val="00CD2942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69E"/>
    <w:rsid w:val="00D91A27"/>
    <w:rsid w:val="00D9524D"/>
    <w:rsid w:val="00D9730F"/>
    <w:rsid w:val="00DA1BA1"/>
    <w:rsid w:val="00DA36BD"/>
    <w:rsid w:val="00DA5FE2"/>
    <w:rsid w:val="00DA601B"/>
    <w:rsid w:val="00DA6071"/>
    <w:rsid w:val="00DB3A7B"/>
    <w:rsid w:val="00DC001B"/>
    <w:rsid w:val="00DC3DE0"/>
    <w:rsid w:val="00DD0605"/>
    <w:rsid w:val="00DD210D"/>
    <w:rsid w:val="00DD4BED"/>
    <w:rsid w:val="00DE1D5A"/>
    <w:rsid w:val="00DE3EC2"/>
    <w:rsid w:val="00DF380F"/>
    <w:rsid w:val="00DF5FDC"/>
    <w:rsid w:val="00DF65FF"/>
    <w:rsid w:val="00E00DF0"/>
    <w:rsid w:val="00E06464"/>
    <w:rsid w:val="00E10027"/>
    <w:rsid w:val="00E15979"/>
    <w:rsid w:val="00E15E2F"/>
    <w:rsid w:val="00E170AC"/>
    <w:rsid w:val="00E23C89"/>
    <w:rsid w:val="00E31BDD"/>
    <w:rsid w:val="00E35DC4"/>
    <w:rsid w:val="00E41542"/>
    <w:rsid w:val="00E41EBB"/>
    <w:rsid w:val="00E44455"/>
    <w:rsid w:val="00E500C4"/>
    <w:rsid w:val="00E50795"/>
    <w:rsid w:val="00E515A0"/>
    <w:rsid w:val="00E51839"/>
    <w:rsid w:val="00E55B1D"/>
    <w:rsid w:val="00E55B32"/>
    <w:rsid w:val="00E55F29"/>
    <w:rsid w:val="00E757FE"/>
    <w:rsid w:val="00E826E1"/>
    <w:rsid w:val="00E904AF"/>
    <w:rsid w:val="00E91D84"/>
    <w:rsid w:val="00E932EE"/>
    <w:rsid w:val="00EA1E4F"/>
    <w:rsid w:val="00EA39AE"/>
    <w:rsid w:val="00EA5C7B"/>
    <w:rsid w:val="00EA60D6"/>
    <w:rsid w:val="00EA6145"/>
    <w:rsid w:val="00EA640C"/>
    <w:rsid w:val="00EC28B5"/>
    <w:rsid w:val="00ED448E"/>
    <w:rsid w:val="00EE4012"/>
    <w:rsid w:val="00EE6095"/>
    <w:rsid w:val="00EF1CE0"/>
    <w:rsid w:val="00EF47DC"/>
    <w:rsid w:val="00EF512C"/>
    <w:rsid w:val="00F02701"/>
    <w:rsid w:val="00F02E32"/>
    <w:rsid w:val="00F07CE6"/>
    <w:rsid w:val="00F10B6E"/>
    <w:rsid w:val="00F13346"/>
    <w:rsid w:val="00F16D38"/>
    <w:rsid w:val="00F27CD9"/>
    <w:rsid w:val="00F300B8"/>
    <w:rsid w:val="00F34ADF"/>
    <w:rsid w:val="00F4338F"/>
    <w:rsid w:val="00F50E72"/>
    <w:rsid w:val="00F536AE"/>
    <w:rsid w:val="00F634CE"/>
    <w:rsid w:val="00F64FAE"/>
    <w:rsid w:val="00F650A2"/>
    <w:rsid w:val="00F714A6"/>
    <w:rsid w:val="00F71C63"/>
    <w:rsid w:val="00F761F9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1E81"/>
    <w:rsid w:val="00FD3D1C"/>
    <w:rsid w:val="00FE72B3"/>
    <w:rsid w:val="00FF3636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aliases w:val="GOST_TableList,it_List1"/>
    <w:basedOn w:val="a"/>
    <w:link w:val="ab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aliases w:val="для таблиц,Без интервала2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character" w:customStyle="1" w:styleId="ab">
    <w:name w:val="Абзац списка Знак"/>
    <w:aliases w:val="GOST_TableList Знак,it_List1 Знак"/>
    <w:link w:val="aa"/>
    <w:locked/>
    <w:rsid w:val="00530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A16F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A16F7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5463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epz/ktru/ktruCard/commonInfo.html?itemId=546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ags.ru/gosts/gost/6353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ktru/ktruCard/commonInfo.html?itemId=54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C216-E902-4649-9942-4BEE689F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GUZEL_GAL</dc:creator>
  <cp:lastModifiedBy>Петрова Светлана Альбертовна</cp:lastModifiedBy>
  <cp:revision>127</cp:revision>
  <cp:lastPrinted>2024-02-01T07:17:00Z</cp:lastPrinted>
  <dcterms:created xsi:type="dcterms:W3CDTF">2023-08-24T13:52:00Z</dcterms:created>
  <dcterms:modified xsi:type="dcterms:W3CDTF">2024-02-01T08:41:00Z</dcterms:modified>
</cp:coreProperties>
</file>