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bookmarkStart w:id="0" w:name="_GoBack"/>
      <w:r>
        <w:t>Приложение № 1 к извещению</w:t>
      </w:r>
    </w:p>
    <w:p>
      <w:pPr>
        <w:jc w:val="right"/>
      </w:pPr>
      <w:r>
        <w:t>о проведении закупки</w:t>
      </w:r>
    </w:p>
    <w:bookmarkEnd w:id="0"/>
    <w:p>
      <w:pPr>
        <w:jc w:val="center"/>
        <w:rPr>
          <w:b/>
        </w:rPr>
      </w:pPr>
      <w:r>
        <w:rPr>
          <w:b/>
        </w:rPr>
        <w:t>Описание объекта закупки (техническое задание)</w:t>
      </w:r>
    </w:p>
    <w:p>
      <w:pPr>
        <w:jc w:val="center"/>
        <w:rPr>
          <w:b/>
          <w:szCs w:val="28"/>
        </w:rPr>
      </w:pPr>
      <w:r>
        <w:rPr>
          <w:b/>
          <w:szCs w:val="28"/>
        </w:rPr>
        <w:t>на поставку программного обеспечения экранного доступа (далее – Товар) для социального обеспечения граждан (далее – Получатели) в 2024 году</w:t>
      </w:r>
    </w:p>
    <w:p>
      <w:pPr>
        <w:jc w:val="center"/>
        <w:rPr>
          <w:b/>
        </w:rPr>
      </w:pPr>
    </w:p>
    <w:p>
      <w:pPr>
        <w:jc w:val="both"/>
        <w:rPr>
          <w:color w:val="FF0000"/>
        </w:rPr>
      </w:pPr>
      <w:r>
        <w:rPr>
          <w:b/>
        </w:rPr>
        <w:t>Срок поставки Товара Получателям:</w:t>
      </w:r>
      <w:r>
        <w:t xml:space="preserve"> с даты получения от Заказчика реестра получателей Товара до 30.09.2024 года (включительно).</w:t>
      </w:r>
    </w:p>
    <w:p>
      <w:pPr>
        <w:jc w:val="both"/>
      </w:pPr>
      <w:r>
        <w:rPr>
          <w:b/>
        </w:rPr>
        <w:t>Место доставки Товара:</w:t>
      </w:r>
      <w:r>
        <w:t xml:space="preserve"> Санкт-Петербург и Ленинградская область.</w:t>
      </w:r>
    </w:p>
    <w:p>
      <w:pPr>
        <w:jc w:val="center"/>
        <w:rPr>
          <w:b/>
        </w:rPr>
      </w:pPr>
    </w:p>
    <w:p>
      <w:pPr>
        <w:jc w:val="both"/>
      </w:pPr>
      <w:r>
        <w:t>1.Поставщик обязан обеспечить поступление Товара по наименованию, в количестве и в сроки, определенные календарным планом:</w:t>
      </w:r>
    </w:p>
    <w:p>
      <w:pPr>
        <w:ind w:left="360"/>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454"/>
        <w:gridCol w:w="3652"/>
        <w:gridCol w:w="4461"/>
        <w:gridCol w:w="1418"/>
      </w:tblGrid>
      <w:tr>
        <w:trPr>
          <w:trHeight w:val="397"/>
        </w:trPr>
        <w:tc>
          <w:tcPr>
            <w:tcW w:w="454" w:type="dxa"/>
          </w:tcPr>
          <w:p>
            <w:pPr>
              <w:autoSpaceDE w:val="0"/>
              <w:autoSpaceDN w:val="0"/>
              <w:adjustRightInd w:val="0"/>
              <w:jc w:val="center"/>
              <w:rPr>
                <w:b/>
              </w:rPr>
            </w:pPr>
            <w:r>
              <w:rPr>
                <w:b/>
              </w:rPr>
              <w:t>№ п/п</w:t>
            </w:r>
          </w:p>
        </w:tc>
        <w:tc>
          <w:tcPr>
            <w:tcW w:w="3652" w:type="dxa"/>
          </w:tcPr>
          <w:p>
            <w:pPr>
              <w:autoSpaceDE w:val="0"/>
              <w:autoSpaceDN w:val="0"/>
              <w:adjustRightInd w:val="0"/>
              <w:jc w:val="center"/>
              <w:rPr>
                <w:b/>
              </w:rPr>
            </w:pPr>
            <w:r>
              <w:rPr>
                <w:b/>
              </w:rPr>
              <w:t>Наименование Товара</w:t>
            </w:r>
          </w:p>
        </w:tc>
        <w:tc>
          <w:tcPr>
            <w:tcW w:w="4461" w:type="dxa"/>
          </w:tcPr>
          <w:p>
            <w:pPr>
              <w:autoSpaceDE w:val="0"/>
              <w:autoSpaceDN w:val="0"/>
              <w:adjustRightInd w:val="0"/>
              <w:jc w:val="center"/>
              <w:rPr>
                <w:b/>
              </w:rPr>
            </w:pPr>
            <w:r>
              <w:rPr>
                <w:b/>
              </w:rPr>
              <w:t>Периоды поставки на 2024 год</w:t>
            </w:r>
          </w:p>
        </w:tc>
        <w:tc>
          <w:tcPr>
            <w:tcW w:w="1418" w:type="dxa"/>
          </w:tcPr>
          <w:p>
            <w:pPr>
              <w:autoSpaceDE w:val="0"/>
              <w:autoSpaceDN w:val="0"/>
              <w:adjustRightInd w:val="0"/>
              <w:jc w:val="center"/>
              <w:rPr>
                <w:b/>
              </w:rPr>
            </w:pPr>
            <w:r>
              <w:rPr>
                <w:b/>
              </w:rPr>
              <w:t>Количество</w:t>
            </w:r>
          </w:p>
          <w:p>
            <w:pPr>
              <w:autoSpaceDE w:val="0"/>
              <w:autoSpaceDN w:val="0"/>
              <w:adjustRightInd w:val="0"/>
              <w:jc w:val="center"/>
              <w:rPr>
                <w:b/>
              </w:rPr>
            </w:pPr>
            <w:r>
              <w:rPr>
                <w:b/>
              </w:rPr>
              <w:t>(шт.)</w:t>
            </w:r>
          </w:p>
        </w:tc>
      </w:tr>
      <w:tr>
        <w:trPr>
          <w:trHeight w:val="501"/>
        </w:trPr>
        <w:tc>
          <w:tcPr>
            <w:tcW w:w="454" w:type="dxa"/>
          </w:tcPr>
          <w:p>
            <w:pPr>
              <w:autoSpaceDE w:val="0"/>
              <w:autoSpaceDN w:val="0"/>
              <w:adjustRightInd w:val="0"/>
              <w:jc w:val="center"/>
            </w:pPr>
            <w:r>
              <w:t>1</w:t>
            </w:r>
          </w:p>
        </w:tc>
        <w:tc>
          <w:tcPr>
            <w:tcW w:w="3652" w:type="dxa"/>
          </w:tcPr>
          <w:p>
            <w:pPr>
              <w:autoSpaceDE w:val="0"/>
              <w:autoSpaceDN w:val="0"/>
              <w:adjustRightInd w:val="0"/>
              <w:rPr>
                <w:color w:val="000000"/>
              </w:rPr>
            </w:pPr>
            <w:r>
              <w:rPr>
                <w:color w:val="000000"/>
              </w:rPr>
              <w:t>Программное обеспечение экранного доступа для инвалидов, в том числе детей-инвалидов, с нарушениями функций одновременно слуха и зрения</w:t>
            </w:r>
          </w:p>
        </w:tc>
        <w:tc>
          <w:tcPr>
            <w:tcW w:w="4461" w:type="dxa"/>
          </w:tcPr>
          <w:p>
            <w:pPr>
              <w:autoSpaceDE w:val="0"/>
              <w:autoSpaceDN w:val="0"/>
              <w:adjustRightInd w:val="0"/>
              <w:jc w:val="center"/>
            </w:pPr>
            <w:r>
              <w:rPr>
                <w:color w:val="000000"/>
              </w:rPr>
              <w:t xml:space="preserve">В течение 2 (двух) календарных дней с даты заключения государственного </w:t>
            </w:r>
            <w:r>
              <w:rPr>
                <w:color w:val="000000"/>
                <w:sz w:val="22"/>
              </w:rPr>
              <w:t>контракта</w:t>
            </w:r>
          </w:p>
        </w:tc>
        <w:tc>
          <w:tcPr>
            <w:tcW w:w="1418" w:type="dxa"/>
          </w:tcPr>
          <w:p>
            <w:pPr>
              <w:autoSpaceDE w:val="0"/>
              <w:autoSpaceDN w:val="0"/>
              <w:adjustRightInd w:val="0"/>
              <w:jc w:val="center"/>
            </w:pPr>
            <w:r>
              <w:t>20</w:t>
            </w:r>
          </w:p>
        </w:tc>
      </w:tr>
      <w:tr>
        <w:tc>
          <w:tcPr>
            <w:tcW w:w="8567" w:type="dxa"/>
            <w:gridSpan w:val="3"/>
          </w:tcPr>
          <w:p>
            <w:pPr>
              <w:autoSpaceDE w:val="0"/>
              <w:autoSpaceDN w:val="0"/>
              <w:adjustRightInd w:val="0"/>
              <w:jc w:val="center"/>
              <w:rPr>
                <w:b/>
              </w:rPr>
            </w:pPr>
            <w:r>
              <w:rPr>
                <w:b/>
              </w:rPr>
              <w:t>ИТОГО:</w:t>
            </w:r>
          </w:p>
        </w:tc>
        <w:tc>
          <w:tcPr>
            <w:tcW w:w="1418" w:type="dxa"/>
          </w:tcPr>
          <w:p>
            <w:pPr>
              <w:autoSpaceDE w:val="0"/>
              <w:autoSpaceDN w:val="0"/>
              <w:adjustRightInd w:val="0"/>
              <w:jc w:val="center"/>
              <w:rPr>
                <w:b/>
              </w:rPr>
            </w:pPr>
            <w:r>
              <w:rPr>
                <w:b/>
              </w:rPr>
              <w:t>20</w:t>
            </w:r>
          </w:p>
        </w:tc>
      </w:tr>
    </w:tbl>
    <w:p>
      <w:pPr>
        <w:jc w:val="both"/>
      </w:pPr>
    </w:p>
    <w:p>
      <w:pPr>
        <w:jc w:val="both"/>
      </w:pPr>
      <w: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jc w:val="both"/>
      </w:pPr>
    </w:p>
    <w:p>
      <w:pPr>
        <w:jc w:val="both"/>
      </w:pPr>
      <w:r>
        <w:t>3. Товар должен отвечать следующим требованиям:</w:t>
      </w:r>
    </w:p>
    <w:p>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6"/>
        <w:gridCol w:w="1491"/>
        <w:gridCol w:w="1318"/>
        <w:gridCol w:w="4355"/>
        <w:gridCol w:w="1194"/>
        <w:gridCol w:w="641"/>
      </w:tblGrid>
      <w:tr>
        <w:trPr>
          <w:trHeight w:val="20"/>
        </w:trPr>
        <w:tc>
          <w:tcPr>
            <w:tcW w:w="185" w:type="pct"/>
            <w:hideMark/>
          </w:tcPr>
          <w:p>
            <w:pPr>
              <w:spacing w:line="256" w:lineRule="auto"/>
              <w:jc w:val="center"/>
              <w:rPr>
                <w:color w:val="000000"/>
              </w:rPr>
            </w:pPr>
            <w:r>
              <w:rPr>
                <w:color w:val="000000"/>
              </w:rPr>
              <w:t>№ п/п</w:t>
            </w:r>
          </w:p>
        </w:tc>
        <w:tc>
          <w:tcPr>
            <w:tcW w:w="798" w:type="pct"/>
            <w:hideMark/>
          </w:tcPr>
          <w:p>
            <w:pPr>
              <w:spacing w:line="256" w:lineRule="auto"/>
              <w:jc w:val="center"/>
              <w:rPr>
                <w:color w:val="000000"/>
              </w:rPr>
            </w:pPr>
            <w:r>
              <w:rPr>
                <w:color w:val="000000"/>
              </w:rPr>
              <w:t>Наименование Товара</w:t>
            </w:r>
          </w:p>
        </w:tc>
        <w:tc>
          <w:tcPr>
            <w:tcW w:w="705" w:type="pct"/>
          </w:tcPr>
          <w:p>
            <w:pPr>
              <w:spacing w:line="256" w:lineRule="auto"/>
              <w:jc w:val="center"/>
              <w:rPr>
                <w:color w:val="000000"/>
              </w:rPr>
            </w:pPr>
            <w:r>
              <w:rPr>
                <w:color w:val="000000"/>
              </w:rPr>
              <w:t>Наименование Товара по КТРУ</w:t>
            </w:r>
          </w:p>
        </w:tc>
        <w:tc>
          <w:tcPr>
            <w:tcW w:w="2330" w:type="pct"/>
            <w:hideMark/>
          </w:tcPr>
          <w:p>
            <w:pPr>
              <w:spacing w:line="256" w:lineRule="auto"/>
              <w:jc w:val="center"/>
              <w:rPr>
                <w:color w:val="000000"/>
              </w:rPr>
            </w:pPr>
            <w:r>
              <w:rPr>
                <w:color w:val="000000"/>
              </w:rPr>
              <w:t>Характеристика Товара</w:t>
            </w:r>
          </w:p>
        </w:tc>
        <w:tc>
          <w:tcPr>
            <w:tcW w:w="639" w:type="pct"/>
            <w:hideMark/>
          </w:tcPr>
          <w:p>
            <w:pPr>
              <w:spacing w:line="256" w:lineRule="auto"/>
              <w:jc w:val="center"/>
              <w:rPr>
                <w:color w:val="000000"/>
              </w:rPr>
            </w:pPr>
            <w:r>
              <w:rPr>
                <w:color w:val="000000"/>
              </w:rPr>
              <w:t>Значение характеристики</w:t>
            </w:r>
          </w:p>
        </w:tc>
        <w:tc>
          <w:tcPr>
            <w:tcW w:w="343" w:type="pct"/>
            <w:hideMark/>
          </w:tcPr>
          <w:p>
            <w:pPr>
              <w:spacing w:line="256" w:lineRule="auto"/>
              <w:jc w:val="center"/>
              <w:rPr>
                <w:color w:val="000000"/>
              </w:rPr>
            </w:pPr>
            <w:r>
              <w:rPr>
                <w:color w:val="000000"/>
              </w:rPr>
              <w:t>Кол-во (шт.)</w:t>
            </w:r>
          </w:p>
        </w:tc>
      </w:tr>
      <w:tr>
        <w:trPr>
          <w:trHeight w:val="20"/>
        </w:trPr>
        <w:tc>
          <w:tcPr>
            <w:tcW w:w="185" w:type="pct"/>
          </w:tcPr>
          <w:p>
            <w:pPr>
              <w:spacing w:line="256" w:lineRule="auto"/>
              <w:jc w:val="center"/>
              <w:rPr>
                <w:color w:val="000000"/>
              </w:rPr>
            </w:pPr>
            <w:r>
              <w:rPr>
                <w:color w:val="000000"/>
              </w:rPr>
              <w:t>1.</w:t>
            </w:r>
          </w:p>
        </w:tc>
        <w:tc>
          <w:tcPr>
            <w:tcW w:w="798" w:type="pct"/>
          </w:tcPr>
          <w:p>
            <w:pPr>
              <w:spacing w:line="256" w:lineRule="auto"/>
              <w:jc w:val="center"/>
              <w:rPr>
                <w:color w:val="000000"/>
              </w:rPr>
            </w:pPr>
            <w:r>
              <w:rPr>
                <w:color w:val="000000"/>
              </w:rPr>
              <w:t>Программное обеспечение экранного доступа для инвалидов, в том числе детей-инвалидов, с нарушениями функций одновременн</w:t>
            </w:r>
            <w:r>
              <w:rPr>
                <w:color w:val="000000"/>
              </w:rPr>
              <w:lastRenderedPageBreak/>
              <w:t>о слуха и зрения</w:t>
            </w:r>
          </w:p>
        </w:tc>
        <w:tc>
          <w:tcPr>
            <w:tcW w:w="705" w:type="pct"/>
          </w:tcPr>
          <w:p>
            <w:pPr>
              <w:spacing w:line="256" w:lineRule="auto"/>
              <w:jc w:val="center"/>
              <w:rPr>
                <w:color w:val="000000"/>
              </w:rPr>
            </w:pPr>
            <w:r>
              <w:rPr>
                <w:color w:val="000000"/>
              </w:rPr>
              <w:lastRenderedPageBreak/>
              <w:t xml:space="preserve">Программное обеспечение экранного доступа для инвалидов, в том числе детей-инвалидов, с нарушениями функций </w:t>
            </w:r>
            <w:r>
              <w:rPr>
                <w:color w:val="000000"/>
              </w:rPr>
              <w:lastRenderedPageBreak/>
              <w:t>одновременно слуха и зрения</w:t>
            </w:r>
          </w:p>
        </w:tc>
        <w:tc>
          <w:tcPr>
            <w:tcW w:w="2330" w:type="pct"/>
          </w:tcPr>
          <w:p>
            <w:pPr>
              <w:spacing w:line="256" w:lineRule="auto"/>
              <w:rPr>
                <w:color w:val="000000"/>
              </w:rPr>
            </w:pPr>
            <w:r>
              <w:rPr>
                <w:color w:val="000000"/>
              </w:rPr>
              <w:lastRenderedPageBreak/>
              <w:t>Обеспечение возможности доступа незрячих и слабовидящих к возможностям ПК, включая сеть Интернет. Вывод информации должен осуществляться с экрана компьютера с помощью синтезатора речи и дисплея Брайля.</w:t>
            </w:r>
          </w:p>
          <w:p>
            <w:pPr>
              <w:spacing w:line="256" w:lineRule="auto"/>
              <w:rPr>
                <w:color w:val="000000"/>
              </w:rPr>
            </w:pPr>
            <w:r>
              <w:rPr>
                <w:color w:val="000000"/>
              </w:rPr>
              <w:t xml:space="preserve">Совместимость с управлением операционных систем </w:t>
            </w:r>
            <w:proofErr w:type="spellStart"/>
            <w:r>
              <w:rPr>
                <w:color w:val="000000"/>
              </w:rPr>
              <w:t>Windows</w:t>
            </w:r>
            <w:proofErr w:type="spellEnd"/>
            <w:r>
              <w:rPr>
                <w:color w:val="000000"/>
              </w:rPr>
              <w:t xml:space="preserve"> 10, </w:t>
            </w:r>
            <w:proofErr w:type="spellStart"/>
            <w:r>
              <w:rPr>
                <w:color w:val="000000"/>
              </w:rPr>
              <w:t>Windows</w:t>
            </w:r>
            <w:proofErr w:type="spellEnd"/>
            <w:r>
              <w:rPr>
                <w:color w:val="000000"/>
              </w:rPr>
              <w:t xml:space="preserve"> 8, </w:t>
            </w:r>
            <w:proofErr w:type="spellStart"/>
            <w:r>
              <w:rPr>
                <w:color w:val="000000"/>
              </w:rPr>
              <w:t>Windows</w:t>
            </w:r>
            <w:proofErr w:type="spellEnd"/>
            <w:r>
              <w:rPr>
                <w:color w:val="000000"/>
              </w:rPr>
              <w:t xml:space="preserve"> 7.</w:t>
            </w:r>
          </w:p>
          <w:p>
            <w:pPr>
              <w:spacing w:line="256" w:lineRule="auto"/>
              <w:rPr>
                <w:color w:val="000000"/>
              </w:rPr>
            </w:pPr>
            <w:r>
              <w:rPr>
                <w:color w:val="000000"/>
              </w:rPr>
              <w:t>Русскоязычный синтезатор речи.</w:t>
            </w:r>
          </w:p>
          <w:p>
            <w:pPr>
              <w:spacing w:line="256" w:lineRule="auto"/>
              <w:rPr>
                <w:color w:val="000000"/>
              </w:rPr>
            </w:pPr>
            <w:r>
              <w:rPr>
                <w:color w:val="000000"/>
              </w:rPr>
              <w:lastRenderedPageBreak/>
              <w:t>Высококачественные русскоязычные голоса.</w:t>
            </w:r>
          </w:p>
          <w:p>
            <w:pPr>
              <w:spacing w:line="256" w:lineRule="auto"/>
              <w:rPr>
                <w:color w:val="000000"/>
              </w:rPr>
            </w:pPr>
            <w:r>
              <w:rPr>
                <w:color w:val="000000"/>
              </w:rPr>
              <w:t>Высокая скорость отклика.</w:t>
            </w:r>
          </w:p>
          <w:p>
            <w:pPr>
              <w:spacing w:line="256" w:lineRule="auto"/>
              <w:rPr>
                <w:color w:val="000000"/>
              </w:rPr>
            </w:pPr>
            <w:r>
              <w:rPr>
                <w:color w:val="000000"/>
              </w:rPr>
              <w:t>Русифицированный интерфейс.</w:t>
            </w:r>
          </w:p>
          <w:p>
            <w:pPr>
              <w:spacing w:line="256" w:lineRule="auto"/>
              <w:rPr>
                <w:color w:val="000000"/>
              </w:rPr>
            </w:pPr>
            <w:r>
              <w:rPr>
                <w:color w:val="000000"/>
              </w:rPr>
              <w:t xml:space="preserve">Возможность для пользователя комфортно работать в основных приложениях операционной системы </w:t>
            </w:r>
            <w:proofErr w:type="spellStart"/>
            <w:r>
              <w:rPr>
                <w:color w:val="000000"/>
              </w:rPr>
              <w:t>Windows</w:t>
            </w:r>
            <w:proofErr w:type="spellEnd"/>
            <w:r>
              <w:rPr>
                <w:color w:val="000000"/>
              </w:rPr>
              <w:t xml:space="preserve">, а также в приложениях пакета </w:t>
            </w:r>
            <w:proofErr w:type="spellStart"/>
            <w:r>
              <w:rPr>
                <w:color w:val="000000"/>
              </w:rPr>
              <w:t>Microsoft</w:t>
            </w:r>
            <w:proofErr w:type="spellEnd"/>
            <w:r>
              <w:rPr>
                <w:color w:val="000000"/>
              </w:rPr>
              <w:t xml:space="preserve"> </w:t>
            </w:r>
            <w:proofErr w:type="spellStart"/>
            <w:r>
              <w:rPr>
                <w:color w:val="000000"/>
              </w:rPr>
              <w:t>Office</w:t>
            </w:r>
            <w:proofErr w:type="spellEnd"/>
            <w:r>
              <w:rPr>
                <w:color w:val="000000"/>
              </w:rPr>
              <w:t xml:space="preserve"> и других приложениях.</w:t>
            </w:r>
          </w:p>
          <w:p>
            <w:pPr>
              <w:spacing w:line="256" w:lineRule="auto"/>
              <w:rPr>
                <w:color w:val="000000"/>
              </w:rPr>
            </w:pPr>
            <w:r>
              <w:rPr>
                <w:color w:val="000000"/>
              </w:rPr>
              <w:t xml:space="preserve">Возможность для пользователя работать в браузерах </w:t>
            </w:r>
            <w:proofErr w:type="spellStart"/>
            <w:r>
              <w:rPr>
                <w:color w:val="000000"/>
              </w:rPr>
              <w:t>Microsoft</w:t>
            </w:r>
            <w:proofErr w:type="spellEnd"/>
            <w:r>
              <w:rPr>
                <w:color w:val="000000"/>
              </w:rPr>
              <w:t xml:space="preserve"> </w:t>
            </w:r>
            <w:proofErr w:type="spellStart"/>
            <w:r>
              <w:rPr>
                <w:color w:val="000000"/>
              </w:rPr>
              <w:t>Internet</w:t>
            </w:r>
            <w:proofErr w:type="spellEnd"/>
            <w:r>
              <w:rPr>
                <w:color w:val="000000"/>
              </w:rPr>
              <w:t xml:space="preserve"> </w:t>
            </w:r>
            <w:proofErr w:type="spellStart"/>
            <w:r>
              <w:rPr>
                <w:color w:val="000000"/>
              </w:rPr>
              <w:t>Explorer</w:t>
            </w:r>
            <w:proofErr w:type="spellEnd"/>
            <w:r>
              <w:rPr>
                <w:color w:val="000000"/>
              </w:rPr>
              <w:t xml:space="preserve">, </w:t>
            </w:r>
            <w:proofErr w:type="spellStart"/>
            <w:r>
              <w:rPr>
                <w:color w:val="000000"/>
              </w:rPr>
              <w:t>Firefox</w:t>
            </w:r>
            <w:proofErr w:type="spellEnd"/>
            <w:r>
              <w:rPr>
                <w:color w:val="000000"/>
              </w:rPr>
              <w:t xml:space="preserve"> без необходимости переформатировать документ для упрощённого представления.</w:t>
            </w:r>
          </w:p>
          <w:p>
            <w:pPr>
              <w:spacing w:line="256" w:lineRule="auto"/>
              <w:rPr>
                <w:color w:val="000000"/>
              </w:rPr>
            </w:pPr>
            <w:r>
              <w:rPr>
                <w:color w:val="000000"/>
              </w:rPr>
              <w:t>Широкий набор клавиатурных команд, который может быть расширен пользователем.</w:t>
            </w:r>
          </w:p>
          <w:p>
            <w:pPr>
              <w:spacing w:line="256" w:lineRule="auto"/>
              <w:rPr>
                <w:color w:val="000000"/>
              </w:rPr>
            </w:pPr>
            <w:r>
              <w:rPr>
                <w:color w:val="000000"/>
              </w:rPr>
              <w:t>Поддержка режима панорамирования экрана.</w:t>
            </w:r>
          </w:p>
          <w:p>
            <w:pPr>
              <w:spacing w:line="256" w:lineRule="auto"/>
              <w:rPr>
                <w:color w:val="000000"/>
              </w:rPr>
            </w:pPr>
            <w:r>
              <w:rPr>
                <w:color w:val="000000"/>
              </w:rPr>
              <w:t>Режим эмуляции компьютерной мыши при помощи клавиатурных команд.</w:t>
            </w:r>
          </w:p>
          <w:p>
            <w:pPr>
              <w:spacing w:line="256" w:lineRule="auto"/>
              <w:rPr>
                <w:color w:val="000000"/>
              </w:rPr>
            </w:pPr>
            <w:r>
              <w:rPr>
                <w:color w:val="000000"/>
              </w:rPr>
              <w:t xml:space="preserve">Поддержка приложений </w:t>
            </w:r>
            <w:proofErr w:type="spellStart"/>
            <w:r>
              <w:rPr>
                <w:color w:val="000000"/>
              </w:rPr>
              <w:t>Windows</w:t>
            </w:r>
            <w:proofErr w:type="spellEnd"/>
            <w:r>
              <w:rPr>
                <w:color w:val="000000"/>
              </w:rPr>
              <w:t xml:space="preserve"> со стандартным интерфейсом без необходимости их специальной конфигурации.</w:t>
            </w:r>
          </w:p>
          <w:p>
            <w:pPr>
              <w:spacing w:line="256" w:lineRule="auto"/>
              <w:rPr>
                <w:color w:val="000000"/>
              </w:rPr>
            </w:pPr>
            <w:r>
              <w:rPr>
                <w:color w:val="000000"/>
              </w:rPr>
              <w:t>Набор сервисных утилит, позволяющих настраивать как глобальную конфигурацию, так и параметры для отдельного приложения.</w:t>
            </w:r>
          </w:p>
          <w:p>
            <w:pPr>
              <w:spacing w:line="256" w:lineRule="auto"/>
              <w:rPr>
                <w:color w:val="000000"/>
              </w:rPr>
            </w:pPr>
            <w:r>
              <w:rPr>
                <w:color w:val="000000"/>
              </w:rPr>
              <w:t>Поддержка языка скриптов для адаптации к доступу любого нестандартного приложения.</w:t>
            </w:r>
          </w:p>
          <w:p>
            <w:pPr>
              <w:spacing w:line="256" w:lineRule="auto"/>
              <w:rPr>
                <w:color w:val="000000"/>
              </w:rPr>
            </w:pPr>
            <w:r>
              <w:rPr>
                <w:color w:val="000000"/>
              </w:rPr>
              <w:t>Удобная система онлайн-справки, позволяющей пользователю осваивать возможности программы.</w:t>
            </w:r>
          </w:p>
          <w:p>
            <w:pPr>
              <w:spacing w:line="256" w:lineRule="auto"/>
              <w:rPr>
                <w:color w:val="000000"/>
              </w:rPr>
            </w:pPr>
            <w:r>
              <w:rPr>
                <w:color w:val="000000"/>
              </w:rPr>
              <w:t>Дополнительные синтезаторы речи.</w:t>
            </w:r>
          </w:p>
          <w:p>
            <w:pPr>
              <w:spacing w:line="256" w:lineRule="auto"/>
              <w:rPr>
                <w:color w:val="000000"/>
              </w:rPr>
            </w:pPr>
            <w:r>
              <w:rPr>
                <w:color w:val="000000"/>
              </w:rPr>
              <w:t>Драйвера для всех основных моделей дисплеев Брайля.</w:t>
            </w:r>
          </w:p>
          <w:p>
            <w:pPr>
              <w:spacing w:line="256" w:lineRule="auto"/>
              <w:rPr>
                <w:color w:val="000000"/>
              </w:rPr>
            </w:pPr>
            <w:r>
              <w:rPr>
                <w:color w:val="000000"/>
              </w:rPr>
              <w:t>Одновременная поддержка не менее 2-х мониторов.</w:t>
            </w:r>
          </w:p>
          <w:p>
            <w:pPr>
              <w:spacing w:line="256" w:lineRule="auto"/>
              <w:rPr>
                <w:color w:val="000000"/>
              </w:rPr>
            </w:pPr>
            <w:r>
              <w:rPr>
                <w:color w:val="000000"/>
              </w:rPr>
              <w:t xml:space="preserve">Поддержка ввода информации со встроенной клавиатуры </w:t>
            </w:r>
            <w:proofErr w:type="spellStart"/>
            <w:r>
              <w:rPr>
                <w:color w:val="000000"/>
              </w:rPr>
              <w:t>брайлевского</w:t>
            </w:r>
            <w:proofErr w:type="spellEnd"/>
            <w:r>
              <w:rPr>
                <w:color w:val="000000"/>
              </w:rPr>
              <w:t xml:space="preserve"> дисплея.</w:t>
            </w:r>
          </w:p>
          <w:p>
            <w:pPr>
              <w:spacing w:line="256" w:lineRule="auto"/>
              <w:rPr>
                <w:color w:val="000000"/>
              </w:rPr>
            </w:pPr>
            <w:r>
              <w:rPr>
                <w:color w:val="000000"/>
              </w:rPr>
              <w:t>Наличие функции избирательного чтения на веб-страницах, исключающего озвучивание ненужных пользователю элементов (рекламы, фреймов и другого нежелательного контента).</w:t>
            </w:r>
          </w:p>
          <w:p>
            <w:pPr>
              <w:spacing w:line="256" w:lineRule="auto"/>
              <w:rPr>
                <w:color w:val="000000"/>
              </w:rPr>
            </w:pPr>
            <w:r>
              <w:rPr>
                <w:color w:val="000000"/>
              </w:rPr>
              <w:lastRenderedPageBreak/>
              <w:t>Совместимость с сенсорными устройствами.</w:t>
            </w:r>
          </w:p>
          <w:p>
            <w:pPr>
              <w:spacing w:line="256" w:lineRule="auto"/>
              <w:rPr>
                <w:color w:val="000000"/>
              </w:rPr>
            </w:pPr>
            <w:r>
              <w:rPr>
                <w:color w:val="000000"/>
              </w:rPr>
              <w:t>Программа должна поставляться на USB-</w:t>
            </w:r>
            <w:proofErr w:type="spellStart"/>
            <w:r>
              <w:rPr>
                <w:color w:val="000000"/>
              </w:rPr>
              <w:t>флеш</w:t>
            </w:r>
            <w:proofErr w:type="spellEnd"/>
            <w:r>
              <w:rPr>
                <w:color w:val="000000"/>
              </w:rPr>
              <w:t>-накопителе.</w:t>
            </w:r>
          </w:p>
        </w:tc>
        <w:tc>
          <w:tcPr>
            <w:tcW w:w="639" w:type="pct"/>
          </w:tcPr>
          <w:p>
            <w:r>
              <w:lastRenderedPageBreak/>
              <w:t>наличие</w:t>
            </w:r>
          </w:p>
        </w:tc>
        <w:tc>
          <w:tcPr>
            <w:tcW w:w="343" w:type="pct"/>
          </w:tcPr>
          <w:p>
            <w:r>
              <w:t>20</w:t>
            </w:r>
          </w:p>
        </w:tc>
      </w:tr>
      <w:tr>
        <w:trPr>
          <w:trHeight w:val="20"/>
        </w:trPr>
        <w:tc>
          <w:tcPr>
            <w:tcW w:w="4657" w:type="pct"/>
            <w:gridSpan w:val="5"/>
          </w:tcPr>
          <w:p>
            <w:pPr>
              <w:spacing w:line="256" w:lineRule="auto"/>
              <w:jc w:val="right"/>
              <w:rPr>
                <w:color w:val="000000"/>
              </w:rPr>
            </w:pPr>
            <w:r>
              <w:rPr>
                <w:color w:val="000000"/>
              </w:rPr>
              <w:lastRenderedPageBreak/>
              <w:t>Итого</w:t>
            </w:r>
          </w:p>
        </w:tc>
        <w:tc>
          <w:tcPr>
            <w:tcW w:w="343" w:type="pct"/>
            <w:vAlign w:val="center"/>
          </w:tcPr>
          <w:p>
            <w:pPr>
              <w:spacing w:line="256" w:lineRule="auto"/>
              <w:jc w:val="center"/>
              <w:rPr>
                <w:color w:val="000000"/>
              </w:rPr>
            </w:pPr>
            <w:r>
              <w:rPr>
                <w:color w:val="000000"/>
              </w:rPr>
              <w:t>20</w:t>
            </w:r>
          </w:p>
        </w:tc>
      </w:tr>
    </w:tbl>
    <w:p>
      <w:pPr>
        <w:jc w:val="both"/>
      </w:pPr>
    </w:p>
    <w:p>
      <w:pPr>
        <w:jc w:val="both"/>
        <w:rPr>
          <w:b/>
        </w:rPr>
      </w:pPr>
      <w:r>
        <w:rPr>
          <w:b/>
        </w:rPr>
        <w:t>Обоснование включения дополнительной информации в сведения о товаре, работе, услуге:</w:t>
      </w:r>
    </w:p>
    <w:p>
      <w:pPr>
        <w:jc w:val="both"/>
      </w:pPr>
      <w:r>
        <w:t>В связи с отсутствием характеристик в позиции КТРУ «Программное обеспечение экранного доступа для инвалидов, в том числе детей-инвалидов, с нарушениями функций одновременно слуха и зрения» (62.01.29.000-00000037), при описании объекта закупки Заказчиком применяются собственные характеристики товара. Специальное программное обеспечение устройств вывода представлено в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(код классификации 22 39 12).</w:t>
      </w:r>
    </w:p>
    <w:p>
      <w:pPr>
        <w:jc w:val="both"/>
      </w:pPr>
    </w:p>
    <w:p>
      <w:pPr>
        <w:jc w:val="both"/>
      </w:pPr>
      <w: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jc w:val="both"/>
      </w:pPr>
      <w:r>
        <w:t>3.2.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jc w:val="both"/>
      </w:pPr>
      <w:r>
        <w:t>3.3.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pPr>
      <w:r>
        <w:t xml:space="preserve">3.4. Гарантийный срок Товара составляет не менее 24 месяцев со дня подписания Получателем акта приема-передачи Товара. (Закон РФ от 07.02.1992 № 2300-1 «О защите прав потребителей») со дня подписания Получателем акта приема-передачи Товара. </w:t>
      </w:r>
    </w:p>
    <w:p>
      <w:pPr>
        <w:jc w:val="both"/>
      </w:pPr>
      <w:r>
        <w:t>Установленный срок не распространяется на случаи нарушения Получателем условий и требований к эксплуатации Товара.</w:t>
      </w:r>
    </w:p>
    <w:p>
      <w:pPr>
        <w:jc w:val="both"/>
      </w:pPr>
      <w:r>
        <w:t>4. Поставщик обязан:</w:t>
      </w:r>
    </w:p>
    <w:p>
      <w:pPr>
        <w:jc w:val="both"/>
      </w:pPr>
      <w:r>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pPr>
        <w:jc w:val="both"/>
      </w:pPr>
      <w: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jc w:val="both"/>
      </w:pPr>
      <w: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jc w:val="both"/>
      </w:pPr>
      <w: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w:t>
      </w:r>
      <w:r>
        <w:lastRenderedPageBreak/>
        <w:t>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jc w:val="both"/>
        <w:rPr>
          <w:rFonts w:ascii="Times New Roman CYR" w:hAnsi="Times New Roman CYR" w:cs="Times New Roman CYR"/>
        </w:rPr>
      </w:pPr>
      <w:r>
        <w:rPr>
          <w:rFonts w:ascii="Times New Roman CYR" w:hAnsi="Times New Roman CYR" w:cs="Times New Roman CYR"/>
        </w:rPr>
        <w:t xml:space="preserve">4.3. При работе с Получателями обеспечить соблюдение рекомендаций и санитарно-эпидемиологических требований </w:t>
      </w:r>
      <w:proofErr w:type="spellStart"/>
      <w:r>
        <w:rPr>
          <w:rFonts w:ascii="Times New Roman CYR" w:hAnsi="Times New Roman CYR" w:cs="Times New Roman CYR"/>
        </w:rPr>
        <w:t>Роспотребнадзора</w:t>
      </w:r>
      <w:proofErr w:type="spellEnd"/>
      <w:r>
        <w:rPr>
          <w:rFonts w:ascii="Times New Roman CYR" w:hAnsi="Times New Roman CYR" w:cs="Times New Roman CYR"/>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ascii="Times New Roman CYR" w:hAnsi="Times New Roman CYR" w:cs="Times New Roman CYR"/>
        </w:rPr>
        <w:t>коронавирусной</w:t>
      </w:r>
      <w:proofErr w:type="spellEnd"/>
      <w:r>
        <w:rPr>
          <w:rFonts w:ascii="Times New Roman CYR" w:hAnsi="Times New Roman CYR" w:cs="Times New Roman CYR"/>
        </w:rPr>
        <w:t xml:space="preserve"> инфекции (COVID-19).</w:t>
      </w:r>
    </w:p>
    <w:p>
      <w:pPr>
        <w:jc w:val="both"/>
      </w:pPr>
      <w:r>
        <w:t>4.4. Обеспечить возможность выдачи Товара со дня, следующего за днем поступления Товара в Санкт-Петербург и Ленинградской области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должно находиться 100 % Товара. В дальнейшем в пунктах приема Получателей ежедневно должно находиться количество Товара всех наименований в количестве достаточном для бесперебойной выдачи.</w:t>
      </w:r>
    </w:p>
    <w:p>
      <w:pPr>
        <w:jc w:val="both"/>
        <w:rPr>
          <w:rFonts w:ascii="Times New Roman CYR" w:hAnsi="Times New Roman CYR" w:cs="Times New Roman CYR"/>
        </w:rPr>
      </w:pPr>
      <w:r>
        <w:rPr>
          <w:rFonts w:ascii="Times New Roman CYR" w:hAnsi="Times New Roman CYR" w:cs="Times New Roman CYR"/>
        </w:rPr>
        <w:t xml:space="preserve">4.5. Давать справки Получателям по вопросам, связанным с поставкой Товара, </w:t>
      </w:r>
      <w:r>
        <w:t xml:space="preserve">а также </w:t>
      </w:r>
      <w:r>
        <w:rPr>
          <w:rFonts w:ascii="Times New Roman CYR" w:hAnsi="Times New Roman CYR" w:cs="Times New Roman CYR"/>
        </w:rPr>
        <w:t>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государственного контракта.</w:t>
      </w:r>
    </w:p>
    <w:p>
      <w:pPr>
        <w:jc w:val="both"/>
      </w:pPr>
      <w:r>
        <w:rPr>
          <w:rFonts w:ascii="Times New Roman CYR" w:hAnsi="Times New Roman CYR" w:cs="Times New Roman CYR"/>
        </w:rPr>
        <w:t>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t xml:space="preserve">-Петербурга и Ленинградской области; исключается возможность взимания оплаты за звонки Поставщиком. </w:t>
      </w:r>
    </w:p>
    <w:p>
      <w:pPr>
        <w:jc w:val="both"/>
      </w:pPr>
      <w: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jc w:val="both"/>
      </w:pPr>
      <w: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jc w:val="both"/>
      </w:pPr>
      <w: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Style w:val="a3"/>
          </w:rPr>
          <w:t>osp@ro78.fss.ru</w:t>
        </w:r>
      </w:hyperlink>
      <w:r>
        <w:t>.</w:t>
      </w:r>
    </w:p>
    <w:p>
      <w:pPr>
        <w:autoSpaceDE w:val="0"/>
        <w:autoSpaceDN w:val="0"/>
        <w:adjustRightInd w:val="0"/>
        <w:spacing w:line="240" w:lineRule="atLeast"/>
        <w:jc w:val="both"/>
      </w:pPr>
      <w: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numPr>
          <w:ilvl w:val="0"/>
          <w:numId w:val="1"/>
        </w:numPr>
        <w:autoSpaceDE w:val="0"/>
        <w:autoSpaceDN w:val="0"/>
        <w:adjustRightInd w:val="0"/>
        <w:contextualSpacing/>
        <w:jc w:val="both"/>
      </w:pPr>
      <w: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pPr>
      <w: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pPr>
      <w:r>
        <w:t>номер контактного телефона;</w:t>
      </w:r>
    </w:p>
    <w:p>
      <w:pPr>
        <w:numPr>
          <w:ilvl w:val="0"/>
          <w:numId w:val="1"/>
        </w:numPr>
        <w:autoSpaceDE w:val="0"/>
        <w:autoSpaceDN w:val="0"/>
        <w:adjustRightInd w:val="0"/>
        <w:contextualSpacing/>
        <w:jc w:val="both"/>
      </w:pPr>
      <w:r>
        <w:t>адрес электронной почты;</w:t>
      </w:r>
    </w:p>
    <w:p>
      <w:pPr>
        <w:numPr>
          <w:ilvl w:val="0"/>
          <w:numId w:val="1"/>
        </w:numPr>
        <w:autoSpaceDE w:val="0"/>
        <w:autoSpaceDN w:val="0"/>
        <w:adjustRightInd w:val="0"/>
        <w:contextualSpacing/>
        <w:jc w:val="both"/>
      </w:pPr>
      <w: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pPr>
      <w:r>
        <w:t>перечень операций, выполняемых соисполнителем в рамках контракта;</w:t>
      </w:r>
    </w:p>
    <w:p>
      <w:pPr>
        <w:numPr>
          <w:ilvl w:val="0"/>
          <w:numId w:val="1"/>
        </w:numPr>
        <w:autoSpaceDE w:val="0"/>
        <w:autoSpaceDN w:val="0"/>
        <w:adjustRightInd w:val="0"/>
        <w:contextualSpacing/>
        <w:jc w:val="both"/>
        <w:rPr>
          <w:rFonts w:ascii="Calibri" w:hAnsi="Calibri"/>
        </w:rPr>
      </w:pPr>
      <w:r>
        <w:t xml:space="preserve">срок </w:t>
      </w:r>
      <w:proofErr w:type="spellStart"/>
      <w:r>
        <w:t>соисполнительства</w:t>
      </w:r>
      <w:proofErr w:type="spellEnd"/>
      <w:r>
        <w:t>.</w:t>
      </w:r>
    </w:p>
    <w:p>
      <w:pPr>
        <w:autoSpaceDE w:val="0"/>
        <w:autoSpaceDN w:val="0"/>
        <w:adjustRightInd w:val="0"/>
        <w:spacing w:line="240" w:lineRule="atLeast"/>
        <w:jc w:val="both"/>
      </w:pPr>
      <w: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autoSpaceDE w:val="0"/>
        <w:autoSpaceDN w:val="0"/>
        <w:adjustRightInd w:val="0"/>
        <w:spacing w:line="240" w:lineRule="atLeast"/>
        <w:jc w:val="both"/>
      </w:pPr>
      <w: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pPr>
        <w:autoSpaceDE w:val="0"/>
        <w:autoSpaceDN w:val="0"/>
        <w:adjustRightInd w:val="0"/>
        <w:spacing w:line="240" w:lineRule="atLeast"/>
        <w:jc w:val="both"/>
      </w:pPr>
      <w: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6" w:history="1">
        <w:r>
          <w:rPr>
            <w:color w:val="0000FF"/>
            <w:u w:val="single"/>
            <w:lang w:val="en-US"/>
          </w:rPr>
          <w:t>osp</w:t>
        </w:r>
        <w:r>
          <w:rPr>
            <w:color w:val="0000FF"/>
            <w:u w:val="single"/>
          </w:rPr>
          <w:t>@</w:t>
        </w:r>
        <w:r>
          <w:rPr>
            <w:color w:val="0000FF"/>
            <w:u w:val="single"/>
            <w:lang w:val="en-US"/>
          </w:rPr>
          <w:t>ro</w:t>
        </w:r>
        <w:r>
          <w:rPr>
            <w:color w:val="0000FF"/>
            <w:u w:val="single"/>
          </w:rPr>
          <w:t>78.</w:t>
        </w:r>
        <w:r>
          <w:rPr>
            <w:color w:val="0000FF"/>
            <w:u w:val="single"/>
            <w:lang w:val="en-US"/>
          </w:rPr>
          <w:t>fss</w:t>
        </w:r>
        <w:r>
          <w:rPr>
            <w:color w:val="0000FF"/>
            <w:u w:val="single"/>
          </w:rPr>
          <w:t>.</w:t>
        </w:r>
        <w:proofErr w:type="spellStart"/>
        <w:r>
          <w:rPr>
            <w:color w:val="0000FF"/>
            <w:u w:val="single"/>
            <w:lang w:val="en-US"/>
          </w:rPr>
          <w:t>ru</w:t>
        </w:r>
        <w:proofErr w:type="spellEnd"/>
      </w:hyperlink>
      <w:r>
        <w:t xml:space="preserve">. </w:t>
      </w:r>
    </w:p>
    <w:p>
      <w:pPr>
        <w:autoSpaceDE w:val="0"/>
        <w:autoSpaceDN w:val="0"/>
        <w:adjustRightInd w:val="0"/>
        <w:spacing w:line="240" w:lineRule="atLeast"/>
        <w:jc w:val="both"/>
      </w:pPr>
    </w:p>
    <w:p>
      <w:pPr>
        <w:jc w:val="both"/>
      </w:pPr>
      <w:r>
        <w:t>5. Способ поставки:</w:t>
      </w:r>
    </w:p>
    <w:p>
      <w:pPr>
        <w:jc w:val="both"/>
      </w:pPr>
      <w:r>
        <w:t>5.1. Поставщик передает Получателям Товар следующими способами:</w:t>
      </w:r>
    </w:p>
    <w:p>
      <w:pPr>
        <w:jc w:val="both"/>
      </w:pPr>
      <w: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jc w:val="both"/>
      </w:pPr>
      <w:r>
        <w:t>- в пункте (пунктах) приема Получателей, организованных Поставщиком.</w:t>
      </w:r>
    </w:p>
    <w:p>
      <w:pPr>
        <w:jc w:val="both"/>
      </w:pPr>
      <w:r>
        <w:t>Поставщик обязан предоставлять Получателям право выбора способа получения Товара.</w:t>
      </w:r>
    </w:p>
    <w:p>
      <w:pPr>
        <w:ind w:right="-23"/>
        <w:jc w:val="both"/>
      </w:pPr>
      <w: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pPr>
        <w:pStyle w:val="a4"/>
        <w:numPr>
          <w:ilvl w:val="1"/>
          <w:numId w:val="3"/>
        </w:numPr>
        <w:autoSpaceDE w:val="0"/>
        <w:autoSpaceDN w:val="0"/>
        <w:adjustRightInd w:val="0"/>
        <w:spacing w:after="0" w:line="240" w:lineRule="auto"/>
        <w:ind w:left="0" w:firstLine="0"/>
        <w:jc w:val="both"/>
        <w:rPr>
          <w:rFonts w:ascii="Times New Roman" w:hAnsi="Times New Roman" w:cs="Times New Roman"/>
          <w:color w:val="000000"/>
        </w:rPr>
      </w:pPr>
      <w:r>
        <w:rPr>
          <w:rFonts w:ascii="Times New Roman" w:hAnsi="Times New Roman" w:cs="Times New Roman"/>
          <w:color w:val="000000"/>
        </w:rP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При организации нескольких пунктов приема Получателей на территории Санкт-Петербурга, они должны быть организованы в различных районах Санкт-Петербурга.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В городе Санкт-Петербург таким объектом транспортной инфраструктуры, отвечающим установленным требованиям, является метрополитен.</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lastRenderedPageBreak/>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pStyle w:val="a4"/>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jc w:val="both"/>
        <w:rPr>
          <w:color w:val="000000"/>
        </w:rPr>
      </w:pPr>
      <w:r>
        <w:rPr>
          <w:color w:val="000000"/>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suppressAutoHyphens/>
        <w:jc w:val="both"/>
      </w:pPr>
      <w:r>
        <w:t>Вход в каждый пункт (пункты) приема</w:t>
      </w:r>
      <w:r>
        <w:rPr>
          <w:rFonts w:ascii="Times New Roman CYR" w:hAnsi="Times New Roman CYR" w:cs="Times New Roman CYR"/>
        </w:rPr>
        <w:t xml:space="preserve"> Получателей</w:t>
      </w:r>
      <w: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w:t>
      </w:r>
      <w:r>
        <w:rPr>
          <w:rFonts w:ascii="Times New Roman CYR" w:hAnsi="Times New Roman CYR" w:cs="Times New Roman CYR"/>
        </w:rPr>
        <w:t xml:space="preserve"> Получателей</w:t>
      </w:r>
      <w:r>
        <w:t>. Проход в пункт (пункты) приема</w:t>
      </w:r>
      <w:r>
        <w:rPr>
          <w:rFonts w:ascii="Times New Roman CYR" w:hAnsi="Times New Roman CYR" w:cs="Times New Roman CYR"/>
        </w:rPr>
        <w:t xml:space="preserve"> Получателей</w:t>
      </w:r>
      <w:r>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Pr>
          <w:lang w:eastAsia="ar-SA"/>
        </w:rPr>
        <w:t>пунктов) приема</w:t>
      </w:r>
      <w:r>
        <w:rPr>
          <w:rFonts w:ascii="Times New Roman CYR" w:hAnsi="Times New Roman CYR" w:cs="Times New Roman CYR"/>
        </w:rPr>
        <w:t xml:space="preserve"> Получателей</w:t>
      </w:r>
      <w:r>
        <w:t>, в том числе с помощью его работников, а также сменного кресла-коляски.</w:t>
      </w:r>
    </w:p>
    <w:p>
      <w:pPr>
        <w:suppressAutoHyphens/>
        <w:jc w:val="both"/>
      </w:pPr>
      <w:r>
        <w:rPr>
          <w:b/>
        </w:rPr>
        <w:t>Входная группа</w:t>
      </w:r>
      <w:r>
        <w:t xml:space="preserve"> </w:t>
      </w:r>
    </w:p>
    <w:p>
      <w:pPr>
        <w:suppressAutoHyphens/>
        <w:jc w:val="both"/>
      </w:pPr>
      <w:r>
        <w:t>При перепадах высот Поставщик должен учитывать наличие следующих элементов:</w:t>
      </w:r>
    </w:p>
    <w:p>
      <w:pPr>
        <w:suppressAutoHyphens/>
        <w:jc w:val="both"/>
      </w:pPr>
      <w:r>
        <w:t>- Пандус с поручнями;</w:t>
      </w:r>
    </w:p>
    <w:p>
      <w:pPr>
        <w:suppressAutoHyphens/>
        <w:jc w:val="both"/>
      </w:pPr>
      <w:r>
        <w:t>(в соответствии с п. 5.1.14 – п. 5.1.16; п. 6.1.2 – п. 6.1.4; п. 6.2.9 – п. 6.2.11 СП 59.13330.2020);</w:t>
      </w:r>
    </w:p>
    <w:p>
      <w:pPr>
        <w:suppressAutoHyphens/>
        <w:jc w:val="both"/>
      </w:pPr>
      <w: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uppressAutoHyphens/>
        <w:jc w:val="both"/>
      </w:pPr>
      <w:r>
        <w:t>- Лестница с поручнями;</w:t>
      </w:r>
    </w:p>
    <w:p>
      <w:pPr>
        <w:autoSpaceDE w:val="0"/>
        <w:autoSpaceDN w:val="0"/>
        <w:adjustRightInd w:val="0"/>
        <w:jc w:val="both"/>
      </w:pPr>
      <w: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pPr>
      <w: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uppressAutoHyphens/>
        <w:jc w:val="both"/>
      </w:pPr>
      <w:r>
        <w:t>Применение для инвалидов вместо пандусов аппарелей не допускается на объекте (в соответствии с п. 6.1.2 СП 59.13330.2020).</w:t>
      </w:r>
    </w:p>
    <w:p>
      <w:pPr>
        <w:suppressAutoHyphens/>
        <w:jc w:val="both"/>
        <w:rPr>
          <w:color w:val="000000"/>
        </w:rPr>
      </w:pPr>
      <w:r>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t xml:space="preserve">в соответствии с </w:t>
      </w:r>
      <w:r>
        <w:rPr>
          <w:color w:val="000000"/>
        </w:rPr>
        <w:t>п.6.1.5, п. 6.1.6, п.6.2.4 СП 59.13330.2020)</w:t>
      </w:r>
    </w:p>
    <w:p>
      <w:pPr>
        <w:suppressAutoHyphens/>
        <w:jc w:val="both"/>
      </w:pPr>
      <w:r>
        <w:t>- Тактильно-контрастные указатели;</w:t>
      </w:r>
    </w:p>
    <w:p>
      <w:pPr>
        <w:suppressAutoHyphens/>
        <w:jc w:val="both"/>
      </w:pPr>
      <w:r>
        <w:lastRenderedPageBreak/>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b/>
        </w:rPr>
      </w:pPr>
      <w:r>
        <w:rPr>
          <w:b/>
        </w:rPr>
        <w:t>Пути движения внутри пункта (пунктов)</w:t>
      </w:r>
      <w:r>
        <w:rPr>
          <w:rFonts w:ascii="Times New Roman CYR" w:hAnsi="Times New Roman CYR" w:cs="Times New Roman CYR"/>
        </w:rPr>
        <w:t xml:space="preserve"> </w:t>
      </w:r>
      <w:r>
        <w:rPr>
          <w:rFonts w:ascii="Times New Roman CYR" w:hAnsi="Times New Roman CYR" w:cs="Times New Roman CYR"/>
          <w:b/>
        </w:rPr>
        <w:t>приема</w:t>
      </w:r>
      <w:r>
        <w:rPr>
          <w:rFonts w:ascii="Times New Roman CYR" w:hAnsi="Times New Roman CYR" w:cs="Times New Roman CYR"/>
        </w:rPr>
        <w:t xml:space="preserve"> </w:t>
      </w:r>
      <w:r>
        <w:rPr>
          <w:b/>
        </w:rPr>
        <w:t>Получателей</w:t>
      </w:r>
    </w:p>
    <w:p>
      <w:pPr>
        <w:suppressAutoHyphens/>
        <w:jc w:val="both"/>
      </w:pPr>
      <w:r>
        <w:t>При перепадах высот Поставщик должен учитывать наличие следующих элементов:</w:t>
      </w:r>
    </w:p>
    <w:p>
      <w:pPr>
        <w:suppressAutoHyphens/>
        <w:jc w:val="both"/>
      </w:pPr>
      <w:r>
        <w:t xml:space="preserve">- Лифт, подъемная платформа, эскалатор </w:t>
      </w:r>
    </w:p>
    <w:p>
      <w:pPr>
        <w:suppressAutoHyphens/>
        <w:jc w:val="both"/>
        <w:rPr>
          <w:b/>
        </w:rPr>
      </w:pPr>
      <w:r>
        <w:t>(в соответствии с п. 6.2.13 – п. 6.2.18 СП 59.13330.2020).</w:t>
      </w:r>
      <w:r>
        <w:rPr>
          <w:b/>
        </w:rPr>
        <w:t xml:space="preserve"> </w:t>
      </w:r>
    </w:p>
    <w:p>
      <w:pPr>
        <w:suppressAutoHyphens/>
        <w:jc w:val="both"/>
      </w:pPr>
      <w:r>
        <w:t>Лифт должен иметь габариты не менее 1100х1400 мм (ширина х глубина).</w:t>
      </w:r>
    </w:p>
    <w:p>
      <w:pPr>
        <w:suppressAutoHyphens/>
        <w:jc w:val="both"/>
        <w:rPr>
          <w:b/>
        </w:rPr>
      </w:pPr>
      <w:r>
        <w:t>- Лестницы необходимо обеспечить противоскользящими контрастными полосами общей шириной 0,08-0.1м. (в соответствии с п. 6.2.8 СП 59.13330.2020).</w:t>
      </w:r>
    </w:p>
    <w:p>
      <w:pPr>
        <w:suppressAutoHyphens/>
        <w:jc w:val="both"/>
      </w:pPr>
      <w: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pPr>
      <w: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pPr>
      <w:r>
        <w:t>- Ширина дверных полотен, открытых проемов в стене на путях движения внутри пункта (пунктов) приема</w:t>
      </w:r>
      <w:r>
        <w:rPr>
          <w:rFonts w:ascii="Times New Roman CYR" w:hAnsi="Times New Roman CYR" w:cs="Times New Roman CYR"/>
        </w:rPr>
        <w:t xml:space="preserve"> Получателей</w:t>
      </w:r>
      <w:r>
        <w:t xml:space="preserve"> должна быть не менее 0,9 м. Дверные проемы не должны иметь порогов более 0,014 м. (в соответствии с п. 6.2.4 СП 59.13330.2020).</w:t>
      </w:r>
    </w:p>
    <w:p>
      <w:pPr>
        <w:suppressAutoHyphens/>
        <w:jc w:val="both"/>
      </w:pPr>
      <w:r>
        <w:t xml:space="preserve">- </w:t>
      </w:r>
      <w:proofErr w:type="gramStart"/>
      <w:r>
        <w:t>В</w:t>
      </w:r>
      <w:proofErr w:type="gramEnd"/>
      <w: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uppressAutoHyphens/>
        <w:jc w:val="both"/>
        <w:rPr>
          <w:b/>
        </w:rPr>
      </w:pPr>
      <w:r>
        <w:rPr>
          <w:b/>
        </w:rPr>
        <w:t>Пути эвакуации</w:t>
      </w:r>
    </w:p>
    <w:p>
      <w:pPr>
        <w:suppressAutoHyphens/>
        <w:jc w:val="both"/>
      </w:pPr>
      <w:r>
        <w:t xml:space="preserve">В случае невозможности соблюдения положений </w:t>
      </w:r>
      <w:r>
        <w:rPr>
          <w:shd w:val="clear" w:color="auto" w:fill="FFFFFF"/>
        </w:rPr>
        <w:t xml:space="preserve">ч.15 ст.89 </w:t>
      </w:r>
      <w:r>
        <w:rPr>
          <w:spacing w:val="2"/>
        </w:rPr>
        <w:t>Федерального закона от 22.07.2008 N 123-ФЗ «Технический регламент о требованиях пожарной безопасности</w:t>
      </w:r>
      <w: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uppressAutoHyphens/>
        <w:jc w:val="both"/>
      </w:pPr>
      <w:r>
        <w:t>Пути эвакуации помещений пункта (пунктов) приема</w:t>
      </w:r>
      <w:r>
        <w:rPr>
          <w:rFonts w:ascii="Times New Roman CYR" w:hAnsi="Times New Roman CYR" w:cs="Times New Roman CYR"/>
        </w:rPr>
        <w:t xml:space="preserve"> Получателей</w:t>
      </w:r>
      <w:r>
        <w:t xml:space="preserve"> должны обеспечивать безопасность посетителей в соответствии с п.6.2.19-п.6.2.32 СП 59.13330.2020.</w:t>
      </w:r>
    </w:p>
    <w:p>
      <w:pPr>
        <w:suppressAutoHyphens/>
        <w:jc w:val="both"/>
      </w:pPr>
      <w:r>
        <w:t>Обеспечить систему двухсторонней связи с диспетчером или дежурным (в соответствии с п. 6.5.8 СП 59.13330.2020).</w:t>
      </w:r>
    </w:p>
    <w:p>
      <w:pPr>
        <w:suppressAutoHyphens/>
        <w:jc w:val="both"/>
      </w:pPr>
      <w:r>
        <w:t>5.4. На территории пункта приема</w:t>
      </w:r>
      <w:r>
        <w:rPr>
          <w:rFonts w:ascii="Times New Roman CYR" w:hAnsi="Times New Roman CYR" w:cs="Times New Roman CYR"/>
        </w:rPr>
        <w:t xml:space="preserve"> Получателей</w:t>
      </w:r>
      <w:r>
        <w:t xml:space="preserve"> должны иметься туалетные комнаты, оборудованные для посещения Получателями в соответствии с п. 5.22. </w:t>
      </w:r>
      <w:r>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t xml:space="preserve">, со свободным доступом Получателей. При чем не менее 1 (одной) оборудованной для посещения инвалидами в соответствии с п. 6.3.3, 6.3.6, </w:t>
      </w:r>
      <w:r>
        <w:rPr>
          <w:spacing w:val="2"/>
          <w:shd w:val="clear" w:color="auto" w:fill="FFFFFF"/>
        </w:rPr>
        <w:t>6.3.9</w:t>
      </w:r>
      <w:r>
        <w:t xml:space="preserve"> </w:t>
      </w:r>
      <w:hyperlink r:id="rId7" w:history="1">
        <w:r>
          <w:t>СП 59.13330.2020 «Доступность зданий и сооружений для маломобильных групп населения»</w:t>
        </w:r>
      </w:hyperlink>
      <w:r>
        <w:t>.</w:t>
      </w:r>
    </w:p>
    <w:p>
      <w:pPr>
        <w:jc w:val="both"/>
      </w:pPr>
      <w:r>
        <w:t>5.5. Пункт(ы) приема</w:t>
      </w:r>
      <w:r>
        <w:rPr>
          <w:rFonts w:ascii="Times New Roman CYR" w:hAnsi="Times New Roman CYR" w:cs="Times New Roman CYR"/>
        </w:rPr>
        <w:t xml:space="preserve"> Получателей</w:t>
      </w:r>
      <w: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Pr>
          <w:rFonts w:ascii="Times New Roman CYR" w:hAnsi="Times New Roman CYR" w:cs="Times New Roman CYR"/>
        </w:rPr>
        <w:t xml:space="preserve"> Получателей</w:t>
      </w:r>
      <w:r>
        <w:t xml:space="preserve"> не позволяет обеспечить достижение указанного показателя, Поставщиком оборудуются дополнительные окна обслуживания.</w:t>
      </w:r>
    </w:p>
    <w:p>
      <w:pPr>
        <w:suppressAutoHyphens/>
        <w:jc w:val="both"/>
      </w:pPr>
      <w: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Pr>
          <w:lang w:eastAsia="ar-SA"/>
        </w:rPr>
        <w:t xml:space="preserve">пункта </w:t>
      </w:r>
      <w:r>
        <w:t>(пунктов)</w:t>
      </w:r>
      <w:r>
        <w:rPr>
          <w:lang w:eastAsia="ar-SA"/>
        </w:rPr>
        <w:t xml:space="preserve"> приема</w:t>
      </w:r>
      <w:r>
        <w:rPr>
          <w:rFonts w:ascii="Times New Roman CYR" w:hAnsi="Times New Roman CYR" w:cs="Times New Roman CYR"/>
        </w:rPr>
        <w:t xml:space="preserve"> Получателей</w:t>
      </w:r>
      <w: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suppressAutoHyphens/>
        <w:jc w:val="both"/>
      </w:pPr>
      <w:r>
        <w:lastRenderedPageBreak/>
        <w:t>5.7. Товар должен находиться на складе пункта (пунктов) приема</w:t>
      </w:r>
      <w:r>
        <w:rPr>
          <w:rFonts w:ascii="Times New Roman CYR" w:hAnsi="Times New Roman CYR" w:cs="Times New Roman CYR"/>
        </w:rPr>
        <w:t xml:space="preserve"> Получателей</w:t>
      </w:r>
      <w: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jc w:val="both"/>
      </w:pPr>
      <w: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получателей объектов и предоставляемых услуг в сфере труда, занятости и социальной защиты населения, а также оказания им при этом необходимой помощи»:</w:t>
      </w:r>
    </w:p>
    <w:p>
      <w:pPr>
        <w:jc w:val="both"/>
      </w:pPr>
      <w:r>
        <w:t>- возможность беспрепятственного входа в объекты и выхода из них;</w:t>
      </w:r>
    </w:p>
    <w:p>
      <w:pPr>
        <w:jc w:val="both"/>
      </w:pPr>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pPr>
        <w:jc w:val="both"/>
      </w:pPr>
      <w:r>
        <w:t>- сопровождение получателей, имеющих стойкие нарушения функции зрения и самостоятельного передвижения по территории объекта;</w:t>
      </w:r>
    </w:p>
    <w:p>
      <w:pPr>
        <w:jc w:val="both"/>
      </w:pPr>
      <w:r>
        <w:t>- содействие получателю при входе в объект и выходе из него, информирование получателя о доступных маршрутах общественного транспорта;</w:t>
      </w:r>
    </w:p>
    <w:p>
      <w:pPr>
        <w:jc w:val="both"/>
      </w:pPr>
      <w:r>
        <w:t>- надлежащее размещение носителей информации, необходимой для обеспечения беспрепятственного доступа получателя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jc w:val="both"/>
      </w:pPr>
      <w: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widowControl w:val="0"/>
        <w:jc w:val="both"/>
      </w:pPr>
      <w:r>
        <w:t xml:space="preserve">5.9. Заказчик вправе предоставить Поставщику без взимания платы помещение для организации пункта приема </w:t>
      </w:r>
      <w:r>
        <w:rPr>
          <w:rFonts w:ascii="Times New Roman CYR" w:hAnsi="Times New Roman CYR" w:cs="Times New Roman CYR"/>
        </w:rPr>
        <w:t>Получателей</w:t>
      </w:r>
      <w:r>
        <w:t xml:space="preserve">. Поставщик обязан организовать выдачу Товара в предложенном пункте приема </w:t>
      </w:r>
      <w:r>
        <w:rPr>
          <w:rFonts w:ascii="Times New Roman CYR" w:hAnsi="Times New Roman CYR" w:cs="Times New Roman CYR"/>
        </w:rPr>
        <w:t>Получателей</w:t>
      </w:r>
      <w:r>
        <w:t xml:space="preserve">.  </w:t>
      </w:r>
    </w:p>
    <w:p>
      <w:pPr>
        <w:jc w:val="both"/>
      </w:pPr>
      <w:r>
        <w:t>6. В случае выбора Получателем способа получения Товара по месту нахождения пункта (пунктов) приема</w:t>
      </w:r>
      <w:r>
        <w:rPr>
          <w:rFonts w:ascii="Times New Roman CYR" w:hAnsi="Times New Roman CYR" w:cs="Times New Roman CYR"/>
        </w:rPr>
        <w:t xml:space="preserve"> Получателей</w:t>
      </w:r>
      <w:r>
        <w:t>, организованных Поставщиком, передача Товара Получателю осуществляется в день обращения Получателя в пункт(-ы) приема</w:t>
      </w:r>
      <w:r>
        <w:rPr>
          <w:rFonts w:ascii="Times New Roman CYR" w:hAnsi="Times New Roman CYR" w:cs="Times New Roman CYR"/>
        </w:rPr>
        <w:t xml:space="preserve"> Получателей</w:t>
      </w:r>
      <w:r>
        <w:t xml:space="preserve"> с направлением. На отрывном талоне направления Поставщик в обязательном порядке проставляет дату обращения Получателя.</w:t>
      </w:r>
    </w:p>
    <w:p>
      <w:pPr>
        <w:jc w:val="both"/>
      </w:pPr>
      <w:r>
        <w:t>6.1. Передача Товара Получателям должна производиться в каждом из пунктов приема</w:t>
      </w:r>
      <w:r>
        <w:rPr>
          <w:rFonts w:ascii="Times New Roman CYR" w:hAnsi="Times New Roman CYR" w:cs="Times New Roman CYR"/>
        </w:rPr>
        <w:t xml:space="preserve"> Получателей</w:t>
      </w:r>
      <w:r>
        <w:t xml:space="preserve"> не менее 6 (шести) дней в неделю, не менее 40 (сорока) часов в неделю, при этом, время работы должно быть в интервале с 08:00 до 22:00. </w:t>
      </w:r>
    </w:p>
    <w:p>
      <w:pPr>
        <w:suppressAutoHyphens/>
        <w:jc w:val="both"/>
      </w:pPr>
      <w: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Санкт-Петербурга и Ленинградской области, не менее чем с 10:00 до 21:00 не менее 6 (шести) дней в неделю, по предварительной записи по телефону, предоставленному Заказчику в срок не позднее 1 (одного) рабочего дня с даты заключения контракта. Доставка осуществляется за счет средств Поставщика.</w:t>
      </w:r>
    </w:p>
    <w:p>
      <w:pPr>
        <w:suppressAutoHyphens/>
        <w:jc w:val="both"/>
      </w:pPr>
      <w: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autoSpaceDE w:val="0"/>
        <w:autoSpaceDN w:val="0"/>
        <w:adjustRightInd w:val="0"/>
        <w:jc w:val="both"/>
      </w:pPr>
      <w: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suppressAutoHyphens/>
        <w:jc w:val="both"/>
      </w:pPr>
      <w:r>
        <w:lastRenderedPageBreak/>
        <w:t xml:space="preserve">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требованиям Технического задания. При проведении проверки Заказчик вправе осуществлять </w:t>
      </w:r>
      <w:proofErr w:type="spellStart"/>
      <w:r>
        <w:t>фотофиксацию</w:t>
      </w:r>
      <w:proofErr w:type="spellEnd"/>
      <w:r>
        <w:t xml:space="preserve"> и/или видеозапись.</w:t>
      </w:r>
    </w:p>
    <w:p>
      <w:pPr>
        <w:suppressAutoHyphens/>
        <w:jc w:val="both"/>
      </w:pPr>
      <w: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8" w:history="1">
        <w:r>
          <w:rPr>
            <w:rStyle w:val="a3"/>
          </w:rPr>
          <w:t>osp@ro78.fss.ru</w:t>
        </w:r>
      </w:hyperlink>
      <w:r>
        <w:t>.</w:t>
      </w:r>
    </w:p>
    <w:p>
      <w:pPr>
        <w:suppressAutoHyphens/>
        <w:jc w:val="both"/>
      </w:pPr>
      <w: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jc w:val="both"/>
        <w:rPr>
          <w:szCs w:val="28"/>
        </w:rPr>
      </w:pPr>
    </w:p>
    <w:p>
      <w:pPr>
        <w:jc w:val="center"/>
        <w:rPr>
          <w:b/>
        </w:rPr>
      </w:pPr>
    </w:p>
    <w:p>
      <w:pPr>
        <w:suppressAutoHyphens/>
        <w:ind w:firstLine="709"/>
        <w:jc w:val="center"/>
        <w:rPr>
          <w:b/>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55B7-70F0-4FA2-94D3-B0BE13F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5">
    <w:name w:val="Базовый"/>
    <w:uiPriority w:val="99"/>
    <w:pPr>
      <w:tabs>
        <w:tab w:val="left" w:pos="706"/>
      </w:tabs>
      <w:suppressAutoHyphens/>
      <w:spacing w:after="0" w:line="200" w:lineRule="atLeast"/>
    </w:pPr>
    <w:rPr>
      <w:rFonts w:ascii="Times New Roman" w:eastAsia="Times New Roman" w:hAnsi="Times New Roman" w:cs="Tahom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https://www.minstroyrf.ru/docs/13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ro78.fss.ru" TargetMode="External"/><Relationship Id="rId5" Type="http://schemas.openxmlformats.org/officeDocument/2006/relationships/hyperlink" Target="mailto:osp@ro78.fs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3</cp:revision>
  <dcterms:created xsi:type="dcterms:W3CDTF">2024-02-09T06:17:00Z</dcterms:created>
  <dcterms:modified xsi:type="dcterms:W3CDTF">2024-02-09T06:19:00Z</dcterms:modified>
</cp:coreProperties>
</file>