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1099"/>
      </w:tblGrid>
      <w:tr>
        <w:trPr>
          <w:trHeight w:val="841"/>
        </w:trPr>
        <w:tc>
          <w:tcPr>
            <w:tcW w:w="9571" w:type="dxa"/>
            <w:gridSpan w:val="3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Описание объекта закупки</w:t>
            </w:r>
          </w:p>
        </w:tc>
      </w:tr>
      <w:tr>
        <w:tc>
          <w:tcPr>
            <w:tcW w:w="2235" w:type="dxa"/>
            <w:shd w:val="clear" w:color="auto" w:fill="auto"/>
          </w:tcPr>
          <w:p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336" w:type="dxa"/>
            <w:gridSpan w:val="2"/>
            <w:shd w:val="clear" w:color="auto" w:fill="auto"/>
          </w:tcPr>
          <w:p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изготовлению протезов нижних конечностей               для застрахованных лиц, получивших повреждение здоровья вследствие несчастных случаев на производстве</w:t>
            </w: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срок, не превышающий 60 (шестидесяти) календарных дней со дня получения реестра направлений.</w:t>
            </w:r>
          </w:p>
        </w:tc>
      </w:tr>
      <w:tr>
        <w:trPr>
          <w:trHeight w:val="1009"/>
        </w:trPr>
        <w:tc>
          <w:tcPr>
            <w:tcW w:w="2235" w:type="dxa"/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выполнения работ: </w:t>
            </w:r>
          </w:p>
          <w:p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мерок, индивидуальных слепков, примерка (при необходимости повторные примерки), обучение пользованию Изделием, передача готового Изделия Получателю - в пунктах приема Исполнителя на территории города Саратова и Саратовской области;</w:t>
            </w:r>
          </w:p>
          <w:p>
            <w:pPr>
              <w:widowControl w:val="0"/>
              <w:jc w:val="both"/>
              <w:rPr>
                <w:rFonts w:eastAsia="Lucida Sans Unicode"/>
                <w:b/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изготовление Изделий – по месту нахождения Исполнителя.</w:t>
            </w:r>
          </w:p>
          <w:p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необходимости: по заявке Получателя или Заказчика – снятие мерок, индивидуальных слепков, примерка (при необходимости повторные примерки), обучение пользованию Изделием, передача готового Изделия – по месту жительства Получателя на территории г. Саратова и Саратовской области.</w:t>
            </w:r>
          </w:p>
          <w:p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2235" w:type="dxa"/>
            <w:shd w:val="clear" w:color="auto" w:fill="auto"/>
          </w:tcPr>
          <w:p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Порядок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изготовлению Изделий должно соответствовать назначениям медико-социальной экспертизы. Выполнение работ осуществляется по индивидуальным размерам Получателя в зависимости от вида имеющейся патологии.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обязан выполнить своими силами (при необходимости в стационарных условиях) работы, включающие в себя: снятие </w:t>
            </w:r>
            <w:proofErr w:type="gramStart"/>
            <w:r>
              <w:rPr>
                <w:sz w:val="22"/>
                <w:szCs w:val="22"/>
              </w:rPr>
              <w:t>мерок,  изготовление</w:t>
            </w:r>
            <w:proofErr w:type="gramEnd"/>
            <w:r>
              <w:rPr>
                <w:sz w:val="22"/>
                <w:szCs w:val="22"/>
              </w:rPr>
              <w:t xml:space="preserve"> Изделия, примерку (при необходимости повторные примерки), обучение пользованию изделием, выдачу готового Изделия Получателю, с оформлением необходимой документации. </w:t>
            </w:r>
          </w:p>
          <w:p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работы по изготовлению Изделий по индивидуальным размерам Получателя и в зависимости от вида имеющейся патологии, выдать Изделия, провести обучение пользованию Изделиями.</w:t>
            </w:r>
          </w:p>
          <w:p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Давать справки Получателям по вопросам, связанным с изготовлением Изделий. </w:t>
            </w:r>
          </w:p>
          <w:p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прием Получателей при представлении ими документа</w:t>
            </w:r>
            <w:r>
              <w:rPr>
                <w:bCs/>
                <w:sz w:val="22"/>
                <w:szCs w:val="22"/>
              </w:rPr>
              <w:t xml:space="preserve">, удостоверяющего личность Получателя либо его законного представителя, а также документа, подтверждающего полномочия представителя, </w:t>
            </w:r>
            <w:r>
              <w:rPr>
                <w:sz w:val="22"/>
                <w:szCs w:val="22"/>
              </w:rPr>
              <w:t>и направления Заказчика.</w:t>
            </w:r>
          </w:p>
          <w:p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прием Получателей по вопросам, касающимся изготовления и выдачи Изделий, гарантийного ремонта Изделий, в пункте приема, расположенном на территории г. Саратова и Саратовской области, а при необходимости – по месту фактического проживания (нахождения) Получателя на территории Саратова и Саратовской области.</w:t>
            </w:r>
          </w:p>
          <w:p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Проход в помещения для приема и передвижение по ним должны быть беспрепятственны для Получателей. Помещения должны соответствовать санитарным правилам СП 59.13330.2012. «Доступность зданий и сооружений для маломобильных групп населения. Актуализированная редакция СНиП 35-01-2001». </w:t>
            </w:r>
          </w:p>
          <w:p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Получателей должен производиться не менее 5 (пяти) дней в неделю, не менее 40 часов в неделю. </w:t>
            </w:r>
          </w:p>
          <w:p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уведомляет Получателя о предстоящей передаче Изделия не позднее, чем за 2 (два) рабочих дня до предполагаемой даты выдачи.</w:t>
            </w:r>
          </w:p>
          <w:p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 выдаче Изделия Получателю Исполнитель оформляет Акт сдачи-приемки работ Получателем, который подписывается Исполнителем и Получателем, с обязательным отражением в Акте реквизитов документа, удостоверяющего личность Получателя, либо его законного представителя, а также документа, подтверждающего полномочия представителя.</w:t>
            </w:r>
          </w:p>
        </w:tc>
      </w:tr>
      <w:tr>
        <w:trPr>
          <w:trHeight w:val="737"/>
        </w:trPr>
        <w:tc>
          <w:tcPr>
            <w:tcW w:w="9571" w:type="dxa"/>
            <w:gridSpan w:val="3"/>
            <w:shd w:val="clear" w:color="auto" w:fill="auto"/>
            <w:vAlign w:val="center"/>
          </w:tcPr>
          <w:p>
            <w:pPr>
              <w:tabs>
                <w:tab w:val="left" w:pos="317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Качественные, эксплуатационные, технические характеристики объекта закупки</w:t>
            </w:r>
          </w:p>
        </w:tc>
      </w:tr>
      <w:tr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 во, шт.</w:t>
            </w:r>
          </w:p>
        </w:tc>
      </w:tr>
      <w:tr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Протез голени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купания</w:t>
            </w:r>
          </w:p>
        </w:tc>
        <w:tc>
          <w:tcPr>
            <w:tcW w:w="6237" w:type="dxa"/>
            <w:shd w:val="clear" w:color="auto" w:fill="auto"/>
          </w:tcPr>
          <w:p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Протез голени для купания. Приемная гильза индивидуальная, изготовленная по индивидуальному слепку из слоистого пластика на основе литьевых смол. Крепление облегченное, с использованием наколенника. Стопа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бесшарнирная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полиуретановая. Тип протеза: специальный. </w:t>
            </w:r>
          </w:p>
          <w:p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Чехлы шерстяные - 4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Протез голени модульный</w:t>
            </w:r>
          </w:p>
        </w:tc>
        <w:tc>
          <w:tcPr>
            <w:tcW w:w="6237" w:type="dxa"/>
            <w:shd w:val="clear" w:color="auto" w:fill="auto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Протез голени модульный. Тип косметической облицовки - мягкая полиуретановая модульная, листовой поролон. Косметическое покрытие облицовки - чулки </w:t>
            </w:r>
            <w:proofErr w:type="spellStart"/>
            <w:r>
              <w:rPr>
                <w:sz w:val="22"/>
                <w:szCs w:val="22"/>
                <w:lang w:eastAsia="ru-RU"/>
              </w:rPr>
              <w:t>перлоновые</w:t>
            </w:r>
            <w:proofErr w:type="spellEnd"/>
            <w:r>
              <w:rPr>
                <w:sz w:val="22"/>
                <w:szCs w:val="22"/>
                <w:lang w:eastAsia="ru-RU"/>
              </w:rPr>
              <w:t>. Приемная гильза индивидуальная, изготовленная по индивидуальному слепку из слоистого пластика на основе литьевых смол (приемных пробных гильз 1 шт.). Вкладные гильзы из вспененных материалов; крепление с использованием манжетки на бедро с шинами или с использованием кожаных полуфабрикатов. Регулировочно-соединительные устройства должны соответствовать весу инвалида. Стопа со средней степенью энергосбережения. Тип протеза: постоянный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Чехлы шерстяные – 8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Протез голени модульный</w:t>
            </w:r>
          </w:p>
        </w:tc>
        <w:tc>
          <w:tcPr>
            <w:tcW w:w="6237" w:type="dxa"/>
            <w:shd w:val="clear" w:color="auto" w:fill="auto"/>
          </w:tcPr>
          <w:p>
            <w:pPr>
              <w:keepLines/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Протез голени модульный.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Протез голени с силиконовым чехлом (без замка) в зависимости от индивидуальных особенностей инвалидов. </w:t>
            </w:r>
            <w:r>
              <w:rPr>
                <w:sz w:val="22"/>
                <w:szCs w:val="22"/>
                <w:lang w:eastAsia="ru-RU"/>
              </w:rPr>
              <w:t xml:space="preserve">Тип косметической облицовки - мягкая полиуретановая модульная, листовой поролон. Косметическое покрытие облицовки - чулки </w:t>
            </w:r>
            <w:proofErr w:type="spellStart"/>
            <w:r>
              <w:rPr>
                <w:sz w:val="22"/>
                <w:szCs w:val="22"/>
                <w:lang w:eastAsia="ru-RU"/>
              </w:rPr>
              <w:t>перлоновые</w:t>
            </w:r>
            <w:proofErr w:type="spellEnd"/>
            <w:r>
              <w:rPr>
                <w:sz w:val="22"/>
                <w:szCs w:val="22"/>
                <w:lang w:eastAsia="ru-RU"/>
              </w:rPr>
              <w:t>. Приемная гильза индивидуальная, изготовленная по индивидуальному слепку из слоистого пластика на основе литьевых смол (приемных пробных гильз 1 шт.). Вкладная гильза из вспененных материалов; крепление с использованием кожаных полуфабрикатов. Регулировочно-соединительные устройства должны 4соответствовать весу инвалида. 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топа </w:t>
            </w:r>
            <w:r>
              <w:rPr>
                <w:sz w:val="22"/>
                <w:szCs w:val="22"/>
                <w:lang w:eastAsia="ru-RU"/>
              </w:rPr>
              <w:t>с высокой степенью энергосбережения. Тип протеза: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постоянный.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Чехлы шерстяные – 8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Протез голени модульный</w:t>
            </w:r>
          </w:p>
        </w:tc>
        <w:tc>
          <w:tcPr>
            <w:tcW w:w="6237" w:type="dxa"/>
            <w:shd w:val="clear" w:color="auto" w:fill="auto"/>
          </w:tcPr>
          <w:p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Протез голени модульный.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Протез голени с силиконовым чехлом (с замком). </w:t>
            </w:r>
            <w:r>
              <w:rPr>
                <w:sz w:val="22"/>
                <w:szCs w:val="22"/>
                <w:lang w:eastAsia="ru-RU"/>
              </w:rPr>
              <w:t xml:space="preserve">Тип косметической облицовки - мягкая полиуретановая. Косметическое покрытие облицовки - чулки </w:t>
            </w:r>
            <w:proofErr w:type="spellStart"/>
            <w:r>
              <w:rPr>
                <w:sz w:val="22"/>
                <w:szCs w:val="22"/>
                <w:lang w:eastAsia="ru-RU"/>
              </w:rPr>
              <w:t>перлоновые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Приемная гильза индивидуальная, изготовленная по индивидуальному слепку из слоистого пластика на основе литьевых смол (приемных пробных гильз 1 шт.). Вкладная гильза из вспененных материалов;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крепление с использованием замка или вакуумной мембраны в зависимости от индивидуальных особенностей инвалидов. </w:t>
            </w:r>
            <w:r>
              <w:rPr>
                <w:sz w:val="22"/>
                <w:szCs w:val="22"/>
                <w:lang w:eastAsia="ru-RU"/>
              </w:rPr>
              <w:t>Регулировочно-соединительные устройства должны соответствовать весу инвалида.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Стопа подвижная во всех вертикальных плоскостях, </w:t>
            </w:r>
            <w:r>
              <w:rPr>
                <w:sz w:val="22"/>
                <w:szCs w:val="22"/>
                <w:lang w:eastAsia="ru-RU"/>
              </w:rPr>
              <w:t xml:space="preserve">с высокой степенью энергосбережения,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углепластиковая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t xml:space="preserve">Тип протеза: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постоянный.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Чехлы шерстяные 8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Протез бедра для купания 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бедра модульный для купания. Приемная гильза индивидуальная, изготавливается по индивидуальному слепку с культи (пробных приемных гильз 1) в зависимости от индивидуальных особенностей инвалидов. Материал приемной гильзы (постоянной) - слоистый пластик на основе литьевых смол, крепление поясное с использованием кожаных полуфабрикатов. Регулировочно-соединительные устройства (АКВА) должны соответствовать весу инвалида. Коленный модуль полицентрический замковый или </w:t>
            </w:r>
            <w:proofErr w:type="spellStart"/>
            <w:r>
              <w:rPr>
                <w:sz w:val="22"/>
                <w:szCs w:val="22"/>
              </w:rPr>
              <w:t>беззамковый</w:t>
            </w:r>
            <w:proofErr w:type="spellEnd"/>
            <w:r>
              <w:rPr>
                <w:sz w:val="22"/>
                <w:szCs w:val="22"/>
              </w:rPr>
              <w:t xml:space="preserve"> (АКВА) </w:t>
            </w:r>
            <w:r>
              <w:rPr>
                <w:sz w:val="22"/>
                <w:szCs w:val="22"/>
              </w:rPr>
              <w:lastRenderedPageBreak/>
              <w:t xml:space="preserve">в зависимости от индивидуальных особенностей инвалида. Стопа со средней степенью энергосбережения, Тип протеза: постоянный. </w:t>
            </w:r>
          </w:p>
          <w:p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Чехлы шерстяные – 4шт.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>
            <w:pPr>
              <w:contextualSpacing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Протез бедра модульный</w:t>
            </w:r>
          </w:p>
        </w:tc>
        <w:tc>
          <w:tcPr>
            <w:tcW w:w="6237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Протез бедра модульный. Тип косметической облицовки - мягкая полиуретановая. Косметическое покрытие облицовки - чулки </w:t>
            </w:r>
            <w:proofErr w:type="spellStart"/>
            <w:r>
              <w:rPr>
                <w:rFonts w:eastAsia="Calibri"/>
                <w:sz w:val="22"/>
                <w:szCs w:val="22"/>
              </w:rPr>
              <w:t>перлоновые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Приемная гильза индивидуальная, изготовленная по индивидуальному слепку с культи (количество пробных приемных гильз 1 шт.) материал приемной гильзы (постоянной) слоистый пластик на основе литьевых смол. Регулировочно-соединительные устройства должны соответствовать весу инвалида. Крепление поясное с использованием кожаных полуфабрикатов. Коленный модуль с независимым пневматическим регулированием фаз сгибания-разгибания, наличие поворотного устройства. Стопа с высокой степенью энергосбережения. </w:t>
            </w:r>
            <w:r>
              <w:rPr>
                <w:sz w:val="22"/>
                <w:szCs w:val="22"/>
              </w:rPr>
              <w:t xml:space="preserve">Тип протеза: постоянный.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Чехлы шерстяные – 8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c>
          <w:tcPr>
            <w:tcW w:w="2235" w:type="dxa"/>
            <w:shd w:val="clear" w:color="auto" w:fill="auto"/>
          </w:tcPr>
          <w:p>
            <w:pPr>
              <w:spacing w:before="120" w:after="120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Требования к техническим и функциональным характеристикам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обеспечению Получателей протезно-ортопедическими изделиями должны содержать комплекс медицинских, технических и социальных мероприятий, проводимых с Получателями, имеющими дефекты опорно-двигательного аппарата, в целях компенсации ограничения их жизнедеятельности.</w:t>
            </w:r>
          </w:p>
          <w:p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изготовлении Изделий должны использоваться различные материалы и комплектующие, с учетом патологии Получателей.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изделия,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Изделия должны быть новыми, свободными от прав третьих лиц. </w:t>
            </w:r>
          </w:p>
        </w:tc>
      </w:tr>
      <w:tr>
        <w:trPr>
          <w:trHeight w:val="3259"/>
        </w:trPr>
        <w:tc>
          <w:tcPr>
            <w:tcW w:w="2235" w:type="dxa"/>
            <w:shd w:val="clear" w:color="auto" w:fill="auto"/>
          </w:tcPr>
          <w:p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к гарантийному сроку и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гарантийному обслуживанию </w:t>
            </w:r>
          </w:p>
        </w:tc>
        <w:tc>
          <w:tcPr>
            <w:tcW w:w="7336" w:type="dxa"/>
            <w:gridSpan w:val="2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 Изделия должен </w:t>
            </w:r>
            <w:proofErr w:type="gramStart"/>
            <w:r>
              <w:rPr>
                <w:sz w:val="22"/>
                <w:szCs w:val="22"/>
              </w:rPr>
              <w:t>составлять  не</w:t>
            </w:r>
            <w:proofErr w:type="gramEnd"/>
            <w:r>
              <w:rPr>
                <w:sz w:val="22"/>
                <w:szCs w:val="22"/>
              </w:rPr>
              <w:t xml:space="preserve"> менее 12 (двенадцати) месяцев с момента получения Изделия Получателем.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обязан осуществлять гарантийный ремонт Изделий за счет собственных средств в период гарантийного срока. Срок выполнения гарантийного ремонта не должен превышать 5 (пяти) рабочих дней со дня обращения Получателя.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возможность ремонта, устранения недостатков при выполнении работ по изготовлению Изделий или замене его - в соответствии с Федеральным законом от 07.02.1992 № 2300-1 «О защите прав потребителей».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Сервисная служба для оказания услуг по техническому сопровождению изделия (техническому обслуживанию, ремонту и утилизации) должна быть расположена на территории города Саратова.</w:t>
            </w:r>
          </w:p>
        </w:tc>
      </w:tr>
      <w:tr>
        <w:tc>
          <w:tcPr>
            <w:tcW w:w="2235" w:type="dxa"/>
            <w:shd w:val="clear" w:color="auto" w:fill="auto"/>
          </w:tcPr>
          <w:p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к упаковке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должны быть в упаковке, защищающей от повреждений и воздействия внешней среды.</w:t>
            </w:r>
          </w:p>
        </w:tc>
      </w:tr>
      <w:tr>
        <w:tc>
          <w:tcPr>
            <w:tcW w:w="2235" w:type="dxa"/>
            <w:shd w:val="clear" w:color="auto" w:fill="auto"/>
          </w:tcPr>
          <w:p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Соответствие требованиям стандартов</w:t>
            </w:r>
          </w:p>
        </w:tc>
        <w:tc>
          <w:tcPr>
            <w:tcW w:w="7336" w:type="dxa"/>
            <w:gridSpan w:val="2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изготавливаемых Изделий должно соответствовать государственным стандартам (ГОСТ), действующим на территории Российской Федерации:</w:t>
            </w:r>
          </w:p>
          <w:p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ГОСТ Р 51632-2014 «Технические средства реабилитации людей с ограничениями жизнедеятельности. Общие технические требования и методы испытаний»,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ГОСТ Р 51819-2017 «Протезирование и ортезирование верхних и нижних конечностей. Термины и определения».</w:t>
            </w:r>
          </w:p>
        </w:tc>
      </w:tr>
    </w:tbl>
    <w:p/>
    <w:sectPr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67EBF-B819-40FA-BAC2-E06B6CC3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</w:style>
  <w:style w:type="character" w:styleId="ab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F709-6F67-492D-BD6C-4ABD90C6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Акульшина</dc:creator>
  <cp:keywords/>
  <dc:description/>
  <cp:lastModifiedBy>Сидоров Алексей Иванович</cp:lastModifiedBy>
  <cp:revision>6</cp:revision>
  <cp:lastPrinted>2020-11-09T10:36:00Z</cp:lastPrinted>
  <dcterms:created xsi:type="dcterms:W3CDTF">2022-09-12T12:52:00Z</dcterms:created>
  <dcterms:modified xsi:type="dcterms:W3CDTF">2022-09-16T13:04:00Z</dcterms:modified>
</cp:coreProperties>
</file>