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9" w:rsidRPr="005977A8" w:rsidRDefault="006C0EE9" w:rsidP="006C0EE9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6C0EE9" w:rsidRPr="005977A8" w:rsidRDefault="006C0EE9" w:rsidP="006C0EE9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6C0EE9" w:rsidRDefault="006C0EE9" w:rsidP="006C0EE9">
      <w:pPr>
        <w:keepNext/>
        <w:keepLines/>
        <w:ind w:right="257"/>
        <w:jc w:val="center"/>
        <w:outlineLvl w:val="0"/>
        <w:rPr>
          <w:b/>
        </w:rPr>
      </w:pPr>
    </w:p>
    <w:p w:rsidR="006C0EE9" w:rsidRDefault="006C0EE9" w:rsidP="006C0EE9">
      <w:pPr>
        <w:keepNext/>
        <w:keepLines/>
        <w:ind w:right="257"/>
        <w:jc w:val="center"/>
        <w:outlineLvl w:val="0"/>
        <w:rPr>
          <w:b/>
        </w:rPr>
      </w:pPr>
      <w:r w:rsidRPr="005977A8">
        <w:rPr>
          <w:b/>
        </w:rPr>
        <w:t>Описание объекта закупки</w:t>
      </w:r>
    </w:p>
    <w:p w:rsidR="006C0EE9" w:rsidRDefault="006C0EE9" w:rsidP="006C0EE9">
      <w:pPr>
        <w:keepNext/>
        <w:keepLines/>
        <w:ind w:right="257"/>
        <w:outlineLvl w:val="0"/>
        <w:rPr>
          <w:b/>
        </w:rPr>
      </w:pPr>
      <w:bookmarkStart w:id="0" w:name="_GoBack"/>
      <w:bookmarkEnd w:id="0"/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по </w:t>
      </w:r>
      <w:r w:rsidR="00742EED" w:rsidRPr="00742EED">
        <w:rPr>
          <w:b/>
        </w:rPr>
        <w:t>изготовлению протеза бедра модульного, в том числе при врожденном недоразвитии для инвалида в 2022 году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по </w:t>
      </w:r>
      <w:r w:rsidR="00742EED" w:rsidRPr="00742EED">
        <w:rPr>
          <w:bCs/>
        </w:rPr>
        <w:t xml:space="preserve">изготовлению протеза бедра модульного, в том числе при врожденном недоразвитии для инвалида в 2022 году </w:t>
      </w: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737513">
        <w:t>15</w:t>
      </w:r>
      <w:r w:rsidR="006C0EE9">
        <w:t xml:space="preserve"> </w:t>
      </w:r>
      <w:r w:rsidR="00CF62FC">
        <w:t>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CF62FC">
        <w:t>ноябр</w:t>
      </w:r>
      <w:r w:rsidR="00737513">
        <w:t>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</w:t>
      </w:r>
      <w:r w:rsidRPr="008D2588">
        <w:lastRenderedPageBreak/>
        <w:t xml:space="preserve">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</w:t>
      </w:r>
      <w:r w:rsidRPr="008D2588">
        <w:rPr>
          <w:color w:val="000000"/>
          <w:shd w:val="clear" w:color="auto" w:fill="FFFFFF"/>
        </w:rPr>
        <w:lastRenderedPageBreak/>
        <w:t>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E3678F" w:rsidRPr="001032AC" w:rsidRDefault="00E3678F" w:rsidP="00E3678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E3678F" w:rsidRPr="001032AC" w:rsidRDefault="00E3678F" w:rsidP="00E3678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E3678F" w:rsidRPr="001032AC" w:rsidRDefault="00E3678F" w:rsidP="00E3678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3678F" w:rsidRPr="001032AC" w:rsidRDefault="00E3678F" w:rsidP="00E3678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E3678F" w:rsidRPr="001032AC" w:rsidRDefault="00E3678F" w:rsidP="00E3678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E3678F" w:rsidRPr="001032AC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10993-1-20</w:t>
      </w:r>
      <w:r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1. Оценка и исследования»;</w:t>
      </w:r>
    </w:p>
    <w:p w:rsidR="00E3678F" w:rsidRPr="001032AC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E3678F" w:rsidRPr="001032AC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3678F" w:rsidRPr="001032AC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E3678F" w:rsidRPr="001032AC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E3678F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E3678F" w:rsidRPr="00E3678F" w:rsidRDefault="00E3678F" w:rsidP="00E3678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E3678F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lastRenderedPageBreak/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22"/>
        <w:gridCol w:w="6186"/>
        <w:gridCol w:w="1560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ED" w:rsidRDefault="00742EED" w:rsidP="00742EED">
            <w:pPr>
              <w:ind w:left="-59"/>
            </w:pPr>
            <w:r w:rsidRPr="00F16A98">
              <w:t>8-</w:t>
            </w:r>
            <w:r>
              <w:t>07-10</w:t>
            </w:r>
            <w:r w:rsidRPr="00F16A98">
              <w:t xml:space="preserve"> </w:t>
            </w:r>
          </w:p>
          <w:p w:rsidR="00742EED" w:rsidRDefault="00742EED" w:rsidP="00742EED">
            <w:pPr>
              <w:ind w:left="-59"/>
            </w:pPr>
            <w:r>
              <w:t>Пр</w:t>
            </w:r>
            <w:r w:rsidRPr="006C2C21">
              <w:t>отез бедра модульн</w:t>
            </w:r>
            <w:r>
              <w:t>ый</w:t>
            </w:r>
            <w:r w:rsidRPr="006C2C21">
              <w:t xml:space="preserve">, в том числе при врожденном недоразвитии </w:t>
            </w:r>
          </w:p>
          <w:p w:rsidR="00FE2654" w:rsidRPr="004E0041" w:rsidRDefault="00FE2654" w:rsidP="00742EED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FC" w:rsidRDefault="00CF62FC" w:rsidP="00CF62FC">
            <w:pPr>
              <w:ind w:left="-59"/>
            </w:pPr>
            <w:r>
              <w:t>Пр</w:t>
            </w:r>
            <w:r w:rsidRPr="006C2C21">
              <w:t>отез бедра модульн</w:t>
            </w:r>
            <w:r>
              <w:t>ый</w:t>
            </w:r>
            <w:r w:rsidRPr="006C2C21">
              <w:t>, в том чи</w:t>
            </w:r>
            <w:r>
              <w:t>сле при врожденном недоразвитии должен быть индивидуального изготовления.</w:t>
            </w:r>
          </w:p>
          <w:p w:rsidR="00CF62FC" w:rsidRDefault="00CF62FC" w:rsidP="00CF62FC"/>
          <w:p w:rsidR="00CF62FC" w:rsidRDefault="00CF62FC" w:rsidP="00CF62FC">
            <w:r>
              <w:t>Приемная гильза изготавливается из термопластичного материала.</w:t>
            </w:r>
          </w:p>
          <w:p w:rsidR="00CF62FC" w:rsidRDefault="00CF62FC" w:rsidP="00CF62FC">
            <w:r>
              <w:t xml:space="preserve">Постоянная силовая гильза протеза изготавливается из слоистого пластика на основе акриловых смол с усилением мест нагрузки угле- и стекловолоконным наполнением. </w:t>
            </w:r>
          </w:p>
          <w:p w:rsidR="00CF62FC" w:rsidRDefault="00CF62FC" w:rsidP="00CF62FC">
            <w:r>
              <w:t>Крепление протеза при помощи полимерного чехла с использованием устройства для крепления полимерных чехлов.</w:t>
            </w:r>
          </w:p>
          <w:p w:rsidR="00CF62FC" w:rsidRDefault="00CF62FC" w:rsidP="00CF62FC">
            <w:r>
              <w:t xml:space="preserve">Полицентрический (7-звенный) коленный модуль с гидравлической системой управления фазами переноса и опоры с амортизацией сгибания и высокой стабильностью в фазе опоры. Комбинация полицентрической геометрии и гидравлической системы управления позволяет получить функциональность, плавность и комфорт при ходьбе по опорным поверхностям всех типов. </w:t>
            </w:r>
          </w:p>
          <w:p w:rsidR="00CF62FC" w:rsidRDefault="00CF62FC" w:rsidP="00CF62FC">
            <w:r>
              <w:t xml:space="preserve">Стопа с гидроцилиндром с плавной регулировкой жесткости движения </w:t>
            </w:r>
            <w:proofErr w:type="spellStart"/>
            <w:r>
              <w:t>плантарной</w:t>
            </w:r>
            <w:proofErr w:type="spellEnd"/>
            <w:r>
              <w:t xml:space="preserve"> и дорсальной флексии, для обеспечения плавности переката пятка-носок и </w:t>
            </w:r>
            <w:proofErr w:type="spellStart"/>
            <w:r>
              <w:t>припластывания</w:t>
            </w:r>
            <w:proofErr w:type="spellEnd"/>
            <w:r>
              <w:t xml:space="preserve"> переднего отдела стопы к опорной поверхности при </w:t>
            </w:r>
            <w:proofErr w:type="spellStart"/>
            <w:r>
              <w:t>наступании</w:t>
            </w:r>
            <w:proofErr w:type="spellEnd"/>
            <w:r>
              <w:t xml:space="preserve"> на пятку.</w:t>
            </w:r>
          </w:p>
          <w:p w:rsidR="00CF62FC" w:rsidRDefault="00CF62FC" w:rsidP="00CF62FC">
            <w:r>
              <w:t xml:space="preserve">Карбоновые пластины мыска и пятки, разнесенные через </w:t>
            </w:r>
            <w:r>
              <w:lastRenderedPageBreak/>
              <w:t>шасси стопы, обеспечивают энергосбережение, размещены в кевларовый носок. Жесткость пластин подбирается из 8-ми, под конкретный вес и динамику пациента.</w:t>
            </w:r>
          </w:p>
          <w:p w:rsidR="00CF62FC" w:rsidRDefault="00CF62FC" w:rsidP="00CF62FC">
            <w:r>
              <w:t xml:space="preserve">Стопа имеет формообразующую оболочку телесного цвета с пальцами. </w:t>
            </w:r>
          </w:p>
          <w:p w:rsidR="00CF62FC" w:rsidRDefault="00CF62FC" w:rsidP="00CF62FC">
            <w:r>
              <w:t>Отделка бедра эластичным вспененным полиуретаном телесного цвета с внутренней вклейкой.</w:t>
            </w:r>
          </w:p>
          <w:p w:rsidR="00CF62FC" w:rsidRDefault="00CF62FC" w:rsidP="00CF62FC">
            <w:r>
              <w:t>Чулок отделочный трикотажный телесного цвета с резинкой.</w:t>
            </w:r>
          </w:p>
          <w:p w:rsidR="00CF62FC" w:rsidRDefault="00CF62FC" w:rsidP="00CF62FC"/>
          <w:p w:rsidR="00742EED" w:rsidRDefault="00CF62FC" w:rsidP="00CF62FC">
            <w:r w:rsidRPr="009E3CE6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  <w:p w:rsidR="00FE2654" w:rsidRPr="004E0041" w:rsidRDefault="00742EED" w:rsidP="00742EED">
            <w:pPr>
              <w:contextualSpacing/>
            </w:pPr>
            <w:r w:rsidRPr="009E3CE6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6C0EE9"/>
    <w:rsid w:val="006D0A83"/>
    <w:rsid w:val="00737513"/>
    <w:rsid w:val="00741964"/>
    <w:rsid w:val="00742EED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CF62FC"/>
    <w:rsid w:val="00D74956"/>
    <w:rsid w:val="00E3678F"/>
    <w:rsid w:val="00E57E3E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2022-04-01T09:57:00Z</dcterms:created>
  <dcterms:modified xsi:type="dcterms:W3CDTF">2022-04-01T09:57:00Z</dcterms:modified>
</cp:coreProperties>
</file>