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Default="005F7457" w:rsidP="00A228FF">
      <w:pPr>
        <w:keepLines/>
        <w:widowControl w:val="0"/>
        <w:jc w:val="center"/>
        <w:rPr>
          <w:b/>
          <w:szCs w:val="24"/>
        </w:rPr>
      </w:pPr>
      <w:r w:rsidRPr="006940E7">
        <w:rPr>
          <w:b/>
          <w:szCs w:val="24"/>
        </w:rPr>
        <w:t>Техническое задание</w:t>
      </w:r>
      <w:r w:rsidR="00BF7B4A" w:rsidRPr="006940E7">
        <w:rPr>
          <w:b/>
          <w:szCs w:val="24"/>
        </w:rPr>
        <w:t xml:space="preserve"> (описание объекта закупки и условия исполнения государственного контракта)</w:t>
      </w:r>
    </w:p>
    <w:p w14:paraId="7A97D8DE" w14:textId="77777777" w:rsidR="003D5195" w:rsidRPr="006940E7" w:rsidRDefault="003D5195" w:rsidP="00A228FF">
      <w:pPr>
        <w:keepLines/>
        <w:widowControl w:val="0"/>
        <w:jc w:val="center"/>
        <w:rPr>
          <w:b/>
          <w:szCs w:val="24"/>
        </w:rPr>
      </w:pPr>
    </w:p>
    <w:p w14:paraId="3B4D6A45" w14:textId="29534557" w:rsidR="005453D6" w:rsidRDefault="003D5195" w:rsidP="00A228FF">
      <w:pPr>
        <w:keepLines/>
        <w:widowControl w:val="0"/>
        <w:jc w:val="center"/>
        <w:rPr>
          <w:b/>
          <w:color w:val="auto"/>
          <w:szCs w:val="24"/>
          <w:lang w:eastAsia="en-US"/>
        </w:rPr>
      </w:pPr>
      <w:r w:rsidRPr="003D5195">
        <w:rPr>
          <w:b/>
          <w:color w:val="auto"/>
          <w:szCs w:val="24"/>
          <w:lang w:eastAsia="en-US"/>
        </w:rPr>
        <w:t>Выполнение работ по обеспечению застрахованного лица, получившего повреждение здоровья вследствие несчастного случая на производстве, протезом верхней конечности в 2023 году</w:t>
      </w:r>
    </w:p>
    <w:p w14:paraId="5BEFCF23" w14:textId="77777777" w:rsidR="003D5195" w:rsidRDefault="003D5195" w:rsidP="00A228FF">
      <w:pPr>
        <w:keepLines/>
        <w:widowControl w:val="0"/>
        <w:jc w:val="center"/>
        <w:rPr>
          <w:b/>
          <w:color w:val="auto"/>
          <w:szCs w:val="24"/>
          <w:lang w:eastAsia="en-US"/>
        </w:rPr>
      </w:pPr>
    </w:p>
    <w:tbl>
      <w:tblPr>
        <w:tblStyle w:val="216"/>
        <w:tblpPr w:leftFromText="180" w:rightFromText="180" w:vertAnchor="text" w:tblpY="1"/>
        <w:tblOverlap w:val="never"/>
        <w:tblW w:w="15091" w:type="dxa"/>
        <w:tblLayout w:type="fixed"/>
        <w:tblLook w:val="04A0" w:firstRow="1" w:lastRow="0" w:firstColumn="1" w:lastColumn="0" w:noHBand="0" w:noVBand="1"/>
      </w:tblPr>
      <w:tblGrid>
        <w:gridCol w:w="540"/>
        <w:gridCol w:w="3679"/>
        <w:gridCol w:w="5670"/>
        <w:gridCol w:w="992"/>
        <w:gridCol w:w="851"/>
        <w:gridCol w:w="1588"/>
        <w:gridCol w:w="1771"/>
      </w:tblGrid>
      <w:tr w:rsidR="003D5195" w:rsidRPr="003D5195" w14:paraId="2FB22F1A" w14:textId="77777777" w:rsidTr="00FD0278">
        <w:tc>
          <w:tcPr>
            <w:tcW w:w="540" w:type="dxa"/>
          </w:tcPr>
          <w:p w14:paraId="4E780034" w14:textId="77777777" w:rsidR="003D5195" w:rsidRPr="003D5195" w:rsidRDefault="003D5195" w:rsidP="003D5195">
            <w:pPr>
              <w:keepLines/>
              <w:widowControl w:val="0"/>
              <w:rPr>
                <w:szCs w:val="24"/>
                <w:lang w:eastAsia="ar-SA"/>
              </w:rPr>
            </w:pPr>
            <w:r w:rsidRPr="003D5195">
              <w:rPr>
                <w:szCs w:val="24"/>
                <w:lang w:eastAsia="ar-SA"/>
              </w:rPr>
              <w:t>№ п/п</w:t>
            </w:r>
          </w:p>
        </w:tc>
        <w:tc>
          <w:tcPr>
            <w:tcW w:w="3679" w:type="dxa"/>
          </w:tcPr>
          <w:p w14:paraId="6D968BCD" w14:textId="77777777" w:rsidR="003D5195" w:rsidRPr="003D5195" w:rsidRDefault="003D5195" w:rsidP="003D5195">
            <w:pPr>
              <w:keepLines/>
              <w:widowControl w:val="0"/>
              <w:jc w:val="center"/>
              <w:rPr>
                <w:szCs w:val="24"/>
                <w:lang w:eastAsia="ar-SA"/>
              </w:rPr>
            </w:pPr>
            <w:r w:rsidRPr="003D5195">
              <w:rPr>
                <w:szCs w:val="24"/>
                <w:lang w:eastAsia="ar-SA"/>
              </w:rPr>
              <w:t>Наименование товара, работ, услуг</w:t>
            </w:r>
          </w:p>
        </w:tc>
        <w:tc>
          <w:tcPr>
            <w:tcW w:w="5670" w:type="dxa"/>
          </w:tcPr>
          <w:p w14:paraId="437E39A0" w14:textId="77777777" w:rsidR="003D5195" w:rsidRPr="003D5195" w:rsidRDefault="003D5195" w:rsidP="003D5195">
            <w:pPr>
              <w:keepLines/>
              <w:widowControl w:val="0"/>
              <w:jc w:val="center"/>
              <w:rPr>
                <w:szCs w:val="24"/>
                <w:lang w:eastAsia="ar-SA"/>
              </w:rPr>
            </w:pPr>
            <w:r w:rsidRPr="003D5195">
              <w:rPr>
                <w:szCs w:val="24"/>
                <w:lang w:eastAsia="ar-SA"/>
              </w:rPr>
              <w:t>Описание объекта закупки</w:t>
            </w:r>
          </w:p>
        </w:tc>
        <w:tc>
          <w:tcPr>
            <w:tcW w:w="992" w:type="dxa"/>
          </w:tcPr>
          <w:p w14:paraId="5C75763B" w14:textId="77777777" w:rsidR="003D5195" w:rsidRPr="003D5195" w:rsidRDefault="003D5195" w:rsidP="003D5195">
            <w:pPr>
              <w:keepLines/>
              <w:widowControl w:val="0"/>
              <w:jc w:val="center"/>
              <w:rPr>
                <w:szCs w:val="24"/>
                <w:lang w:eastAsia="ar-SA"/>
              </w:rPr>
            </w:pPr>
            <w:r w:rsidRPr="003D5195">
              <w:rPr>
                <w:szCs w:val="24"/>
                <w:lang w:eastAsia="ar-SA"/>
              </w:rPr>
              <w:t>Ед. изм.</w:t>
            </w:r>
          </w:p>
        </w:tc>
        <w:tc>
          <w:tcPr>
            <w:tcW w:w="851" w:type="dxa"/>
          </w:tcPr>
          <w:p w14:paraId="21459DBC" w14:textId="77777777" w:rsidR="003D5195" w:rsidRPr="003D5195" w:rsidRDefault="003D5195" w:rsidP="003D5195">
            <w:pPr>
              <w:keepLines/>
              <w:widowControl w:val="0"/>
              <w:jc w:val="center"/>
              <w:rPr>
                <w:szCs w:val="24"/>
                <w:lang w:eastAsia="ar-SA"/>
              </w:rPr>
            </w:pPr>
            <w:r w:rsidRPr="003D5195">
              <w:rPr>
                <w:szCs w:val="24"/>
                <w:lang w:eastAsia="ar-SA"/>
              </w:rPr>
              <w:t>Кол-во</w:t>
            </w:r>
          </w:p>
        </w:tc>
        <w:tc>
          <w:tcPr>
            <w:tcW w:w="1588" w:type="dxa"/>
          </w:tcPr>
          <w:p w14:paraId="06C10925" w14:textId="77777777" w:rsidR="003D5195" w:rsidRPr="003D5195" w:rsidRDefault="003D5195" w:rsidP="003D5195">
            <w:pPr>
              <w:keepLines/>
              <w:widowControl w:val="0"/>
              <w:jc w:val="center"/>
              <w:rPr>
                <w:szCs w:val="24"/>
                <w:vertAlign w:val="superscript"/>
                <w:lang w:eastAsia="ar-SA"/>
              </w:rPr>
            </w:pPr>
            <w:r w:rsidRPr="003D5195">
              <w:rPr>
                <w:szCs w:val="24"/>
                <w:lang w:eastAsia="ar-SA"/>
              </w:rPr>
              <w:t>Цена за единицу измерения, руб.</w:t>
            </w:r>
            <w:r w:rsidRPr="003D5195">
              <w:rPr>
                <w:szCs w:val="24"/>
                <w:vertAlign w:val="superscript"/>
                <w:lang w:eastAsia="ar-SA"/>
              </w:rPr>
              <w:footnoteReference w:id="1"/>
            </w:r>
          </w:p>
        </w:tc>
        <w:tc>
          <w:tcPr>
            <w:tcW w:w="1771" w:type="dxa"/>
          </w:tcPr>
          <w:p w14:paraId="36888DBC" w14:textId="77777777" w:rsidR="003D5195" w:rsidRPr="003D5195" w:rsidRDefault="003D5195" w:rsidP="003D5195">
            <w:pPr>
              <w:keepLines/>
              <w:widowControl w:val="0"/>
              <w:jc w:val="center"/>
              <w:rPr>
                <w:szCs w:val="24"/>
                <w:vertAlign w:val="superscript"/>
                <w:lang w:eastAsia="ar-SA"/>
              </w:rPr>
            </w:pPr>
            <w:r w:rsidRPr="003D5195">
              <w:rPr>
                <w:szCs w:val="24"/>
                <w:lang w:eastAsia="ar-SA"/>
              </w:rPr>
              <w:t>Стоимость позиции, руб.</w:t>
            </w:r>
            <w:r w:rsidRPr="003D5195">
              <w:rPr>
                <w:szCs w:val="24"/>
                <w:vertAlign w:val="superscript"/>
                <w:lang w:eastAsia="ar-SA"/>
              </w:rPr>
              <w:footnoteReference w:id="2"/>
            </w:r>
          </w:p>
        </w:tc>
      </w:tr>
      <w:tr w:rsidR="003D5195" w:rsidRPr="003D5195" w14:paraId="4CA0773C" w14:textId="77777777" w:rsidTr="00FD0278">
        <w:tc>
          <w:tcPr>
            <w:tcW w:w="540" w:type="dxa"/>
          </w:tcPr>
          <w:p w14:paraId="61C5CF10" w14:textId="77777777" w:rsidR="003D5195" w:rsidRPr="003D5195" w:rsidRDefault="003D5195" w:rsidP="003D5195">
            <w:pPr>
              <w:keepLines/>
              <w:widowControl w:val="0"/>
              <w:rPr>
                <w:szCs w:val="24"/>
                <w:lang w:eastAsia="ar-SA"/>
              </w:rPr>
            </w:pPr>
            <w:r w:rsidRPr="003D5195">
              <w:rPr>
                <w:szCs w:val="24"/>
                <w:lang w:eastAsia="ar-SA"/>
              </w:rPr>
              <w:t>1.</w:t>
            </w:r>
          </w:p>
        </w:tc>
        <w:tc>
          <w:tcPr>
            <w:tcW w:w="3679" w:type="dxa"/>
          </w:tcPr>
          <w:p w14:paraId="51EDB556" w14:textId="66A35B6E" w:rsidR="003D5195" w:rsidRPr="003D5195" w:rsidRDefault="003D5195" w:rsidP="003D5195">
            <w:pPr>
              <w:keepLines/>
              <w:widowControl w:val="0"/>
              <w:jc w:val="center"/>
              <w:rPr>
                <w:szCs w:val="24"/>
                <w:lang w:eastAsia="ar-SA"/>
              </w:rPr>
            </w:pPr>
            <w:r w:rsidRPr="003D5195">
              <w:rPr>
                <w:szCs w:val="24"/>
                <w:lang w:eastAsia="en-US"/>
              </w:rPr>
              <w:t xml:space="preserve">Протез кисти с микропроцессор - </w:t>
            </w:r>
            <w:proofErr w:type="spellStart"/>
            <w:r w:rsidRPr="003D5195">
              <w:rPr>
                <w:szCs w:val="24"/>
                <w:lang w:eastAsia="en-US"/>
              </w:rPr>
              <w:t>ным</w:t>
            </w:r>
            <w:proofErr w:type="spellEnd"/>
            <w:r w:rsidRPr="003D5195">
              <w:rPr>
                <w:szCs w:val="24"/>
                <w:lang w:eastAsia="en-US"/>
              </w:rPr>
              <w:t xml:space="preserve"> управлением, в том числе при вычленении и частичном вычленении кисти</w:t>
            </w:r>
          </w:p>
        </w:tc>
        <w:tc>
          <w:tcPr>
            <w:tcW w:w="5670" w:type="dxa"/>
            <w:vAlign w:val="center"/>
          </w:tcPr>
          <w:p w14:paraId="275284E7" w14:textId="77777777" w:rsidR="003D5195" w:rsidRPr="003D5195" w:rsidRDefault="003D5195" w:rsidP="003D5195">
            <w:pPr>
              <w:shd w:val="clear" w:color="auto" w:fill="FFFFFF"/>
              <w:textAlignment w:val="baseline"/>
              <w:rPr>
                <w:szCs w:val="24"/>
                <w:lang w:eastAsia="ar-SA"/>
              </w:rPr>
            </w:pPr>
            <w:r w:rsidRPr="003D5195">
              <w:rPr>
                <w:szCs w:val="24"/>
                <w:lang w:eastAsia="ar-SA"/>
              </w:rPr>
              <w:t xml:space="preserve">Протез должен состоять не менее двух основных частей: кисть с модулями пальцев и предплечье с электроникой. Кисть протеза должна состоять из внешней гильзы и модулей пальцев, состоящих из мотор-редуктора и кинематического механизма, размещенных в корпусе пальца. Предплечье протеза должно состоять из внутренней гильзы, в которую устанавливаются электроды, системы питания, включающей АКБ, и плату управления питанием, модуль зарядки и включения, системы управления, внешней гильзы. В памяти протеза должно одновременно находиться не более 2 настроенных жестов. Конфигурацию жеста должен выбирать сам пользователь. Можно настроить не менее 8 жестов. Применение косметической внешней оболочки не должно предусматриваться. Ладонь и кончики пальцев должны быть оснащены противоскользящими силиконовыми накладками. </w:t>
            </w:r>
          </w:p>
          <w:p w14:paraId="23C15189" w14:textId="77777777" w:rsidR="003D5195" w:rsidRPr="003D5195" w:rsidRDefault="003D5195" w:rsidP="003D5195">
            <w:pPr>
              <w:shd w:val="clear" w:color="auto" w:fill="FFFFFF"/>
              <w:textAlignment w:val="baseline"/>
              <w:rPr>
                <w:szCs w:val="24"/>
                <w:lang w:eastAsia="ar-SA"/>
              </w:rPr>
            </w:pPr>
            <w:r w:rsidRPr="003D5195">
              <w:rPr>
                <w:szCs w:val="24"/>
                <w:lang w:eastAsia="ar-SA"/>
              </w:rPr>
              <w:t xml:space="preserve">Управление протезом должно происходить за счет регистрации на поверхности кожи предплечья </w:t>
            </w:r>
            <w:proofErr w:type="spellStart"/>
            <w:r w:rsidRPr="003D5195">
              <w:rPr>
                <w:szCs w:val="24"/>
                <w:lang w:eastAsia="ar-SA"/>
              </w:rPr>
              <w:t>электромиографического</w:t>
            </w:r>
            <w:proofErr w:type="spellEnd"/>
            <w:r w:rsidRPr="003D5195">
              <w:rPr>
                <w:szCs w:val="24"/>
                <w:lang w:eastAsia="ar-SA"/>
              </w:rPr>
              <w:t xml:space="preserve"> сигнала посредством </w:t>
            </w:r>
            <w:proofErr w:type="spellStart"/>
            <w:r w:rsidRPr="003D5195">
              <w:rPr>
                <w:szCs w:val="24"/>
                <w:lang w:eastAsia="ar-SA"/>
              </w:rPr>
              <w:t>миодатчиков</w:t>
            </w:r>
            <w:proofErr w:type="spellEnd"/>
            <w:r w:rsidRPr="003D5195">
              <w:rPr>
                <w:szCs w:val="24"/>
                <w:lang w:eastAsia="ar-SA"/>
              </w:rPr>
              <w:t xml:space="preserve">, расположенных во внутренней гильзе. Управление скоростью и силой </w:t>
            </w:r>
            <w:proofErr w:type="spellStart"/>
            <w:r w:rsidRPr="003D5195">
              <w:rPr>
                <w:szCs w:val="24"/>
                <w:lang w:eastAsia="ar-SA"/>
              </w:rPr>
              <w:t>схвата</w:t>
            </w:r>
            <w:proofErr w:type="spellEnd"/>
            <w:r w:rsidRPr="003D5195">
              <w:rPr>
                <w:szCs w:val="24"/>
                <w:lang w:eastAsia="ar-SA"/>
              </w:rPr>
              <w:t xml:space="preserve">, должно осуществляться пропорционально силе напряжения мышц культи, что должно позволять брать хрупкие предметы. </w:t>
            </w:r>
          </w:p>
          <w:p w14:paraId="4A61B06A" w14:textId="77777777" w:rsidR="003D5195" w:rsidRPr="003D5195" w:rsidRDefault="003D5195" w:rsidP="003D5195">
            <w:pPr>
              <w:shd w:val="clear" w:color="auto" w:fill="FFFFFF"/>
              <w:textAlignment w:val="baseline"/>
              <w:rPr>
                <w:rFonts w:ascii="Calibri" w:hAnsi="Calibri"/>
                <w:szCs w:val="24"/>
                <w:lang w:eastAsia="ar-SA"/>
              </w:rPr>
            </w:pPr>
            <w:r w:rsidRPr="003D5195">
              <w:rPr>
                <w:szCs w:val="24"/>
                <w:lang w:eastAsia="ar-SA"/>
              </w:rPr>
              <w:t xml:space="preserve">Управление протезом должно быть не менее одноканальным. В качестве источника энергии должен быть заряжаемый, несъемный литий-ионный аккумулятор с защитой от перезаряда. </w:t>
            </w:r>
          </w:p>
          <w:p w14:paraId="20B99C77" w14:textId="77777777" w:rsidR="003D5195" w:rsidRPr="003D5195" w:rsidRDefault="003D5195" w:rsidP="003D5195">
            <w:pPr>
              <w:rPr>
                <w:color w:val="FF0000"/>
                <w:szCs w:val="24"/>
                <w:lang w:eastAsia="ar-SA"/>
              </w:rPr>
            </w:pPr>
            <w:r w:rsidRPr="003D5195">
              <w:rPr>
                <w:szCs w:val="24"/>
                <w:lang w:eastAsia="ar-SA"/>
              </w:rPr>
              <w:t>Приёмная гильза должна быть из мягких смол (</w:t>
            </w:r>
            <w:proofErr w:type="spellStart"/>
            <w:r w:rsidRPr="003D5195">
              <w:rPr>
                <w:szCs w:val="24"/>
                <w:lang w:eastAsia="ar-SA"/>
              </w:rPr>
              <w:t>термолин</w:t>
            </w:r>
            <w:proofErr w:type="spellEnd"/>
            <w:r w:rsidRPr="003D5195">
              <w:rPr>
                <w:szCs w:val="24"/>
                <w:lang w:eastAsia="ar-SA"/>
              </w:rPr>
              <w:t>) или силикона. Внешняя гильза должна изготавливаться по индивидуальной приемной гильзе с применением 3</w:t>
            </w:r>
            <w:r w:rsidRPr="003D5195">
              <w:rPr>
                <w:szCs w:val="24"/>
                <w:lang w:val="en-US" w:eastAsia="ar-SA"/>
              </w:rPr>
              <w:t>D</w:t>
            </w:r>
            <w:r w:rsidRPr="003D5195">
              <w:rPr>
                <w:szCs w:val="24"/>
                <w:lang w:eastAsia="ar-SA"/>
              </w:rPr>
              <w:t xml:space="preserve"> сканирования и печати </w:t>
            </w:r>
            <w:r w:rsidRPr="003D5195">
              <w:rPr>
                <w:szCs w:val="24"/>
                <w:lang w:val="en-US" w:eastAsia="ar-SA"/>
              </w:rPr>
              <w:t>SLS</w:t>
            </w:r>
            <w:r w:rsidRPr="003D5195">
              <w:rPr>
                <w:szCs w:val="24"/>
                <w:lang w:eastAsia="ar-SA"/>
              </w:rPr>
              <w:t xml:space="preserve"> из полиамида.</w:t>
            </w:r>
          </w:p>
        </w:tc>
        <w:tc>
          <w:tcPr>
            <w:tcW w:w="992" w:type="dxa"/>
          </w:tcPr>
          <w:p w14:paraId="0BB43F6D" w14:textId="77777777" w:rsidR="003D5195" w:rsidRPr="003D5195" w:rsidRDefault="003D5195" w:rsidP="003D5195">
            <w:pPr>
              <w:keepLines/>
              <w:widowControl w:val="0"/>
              <w:jc w:val="center"/>
              <w:rPr>
                <w:szCs w:val="24"/>
                <w:lang w:eastAsia="ar-SA"/>
              </w:rPr>
            </w:pPr>
            <w:r w:rsidRPr="003D5195">
              <w:rPr>
                <w:szCs w:val="24"/>
                <w:lang w:eastAsia="ar-SA"/>
              </w:rPr>
              <w:t>штука</w:t>
            </w:r>
          </w:p>
        </w:tc>
        <w:tc>
          <w:tcPr>
            <w:tcW w:w="851" w:type="dxa"/>
          </w:tcPr>
          <w:p w14:paraId="1CF1E2EF" w14:textId="77777777" w:rsidR="003D5195" w:rsidRPr="003D5195" w:rsidRDefault="003D5195" w:rsidP="003D5195">
            <w:pPr>
              <w:keepLines/>
              <w:widowControl w:val="0"/>
              <w:jc w:val="center"/>
              <w:rPr>
                <w:szCs w:val="24"/>
                <w:lang w:eastAsia="ar-SA"/>
              </w:rPr>
            </w:pPr>
            <w:r w:rsidRPr="003D5195">
              <w:rPr>
                <w:szCs w:val="24"/>
                <w:lang w:eastAsia="ar-SA"/>
              </w:rPr>
              <w:t>1</w:t>
            </w:r>
          </w:p>
        </w:tc>
        <w:tc>
          <w:tcPr>
            <w:tcW w:w="1588" w:type="dxa"/>
          </w:tcPr>
          <w:p w14:paraId="069BB65B" w14:textId="77777777" w:rsidR="003D5195" w:rsidRPr="003D5195" w:rsidRDefault="003D5195" w:rsidP="003D5195">
            <w:pPr>
              <w:keepLines/>
              <w:widowControl w:val="0"/>
              <w:jc w:val="center"/>
              <w:rPr>
                <w:color w:val="FF0000"/>
                <w:szCs w:val="24"/>
                <w:lang w:eastAsia="ar-SA"/>
              </w:rPr>
            </w:pPr>
            <w:r w:rsidRPr="003D5195">
              <w:rPr>
                <w:bCs/>
                <w:szCs w:val="24"/>
                <w:lang w:eastAsia="ar-SA"/>
              </w:rPr>
              <w:t>3 635 321,33</w:t>
            </w:r>
          </w:p>
        </w:tc>
        <w:tc>
          <w:tcPr>
            <w:tcW w:w="1771" w:type="dxa"/>
          </w:tcPr>
          <w:p w14:paraId="1EAF7822" w14:textId="77777777" w:rsidR="003D5195" w:rsidRPr="003D5195" w:rsidRDefault="003D5195" w:rsidP="003D5195">
            <w:pPr>
              <w:keepLines/>
              <w:widowControl w:val="0"/>
              <w:jc w:val="center"/>
              <w:rPr>
                <w:color w:val="FF0000"/>
                <w:szCs w:val="24"/>
                <w:lang w:eastAsia="ar-SA"/>
              </w:rPr>
            </w:pPr>
            <w:r w:rsidRPr="003D5195">
              <w:rPr>
                <w:bCs/>
                <w:szCs w:val="24"/>
                <w:lang w:eastAsia="ar-SA"/>
              </w:rPr>
              <w:t>3 635 321,33</w:t>
            </w:r>
          </w:p>
        </w:tc>
      </w:tr>
      <w:tr w:rsidR="003D5195" w:rsidRPr="003D5195" w14:paraId="04B5C10B" w14:textId="77777777" w:rsidTr="00FD0278">
        <w:trPr>
          <w:trHeight w:val="70"/>
        </w:trPr>
        <w:tc>
          <w:tcPr>
            <w:tcW w:w="10881" w:type="dxa"/>
            <w:gridSpan w:val="4"/>
          </w:tcPr>
          <w:p w14:paraId="430B0C31" w14:textId="77777777" w:rsidR="003D5195" w:rsidRPr="003D5195" w:rsidRDefault="003D5195" w:rsidP="003D5195">
            <w:pPr>
              <w:keepLines/>
              <w:widowControl w:val="0"/>
              <w:rPr>
                <w:b/>
                <w:szCs w:val="24"/>
                <w:lang w:eastAsia="ar-SA"/>
              </w:rPr>
            </w:pPr>
            <w:r w:rsidRPr="003D5195">
              <w:rPr>
                <w:b/>
                <w:szCs w:val="24"/>
                <w:lang w:eastAsia="ar-SA"/>
              </w:rPr>
              <w:t>ИТОГО</w:t>
            </w:r>
          </w:p>
        </w:tc>
        <w:tc>
          <w:tcPr>
            <w:tcW w:w="851" w:type="dxa"/>
          </w:tcPr>
          <w:p w14:paraId="19DF9403" w14:textId="77777777" w:rsidR="003D5195" w:rsidRPr="003D5195" w:rsidRDefault="003D5195" w:rsidP="003D5195">
            <w:pPr>
              <w:keepLines/>
              <w:widowControl w:val="0"/>
              <w:jc w:val="center"/>
              <w:rPr>
                <w:b/>
                <w:szCs w:val="24"/>
                <w:lang w:eastAsia="ar-SA"/>
              </w:rPr>
            </w:pPr>
            <w:r w:rsidRPr="003D5195">
              <w:rPr>
                <w:b/>
                <w:szCs w:val="24"/>
                <w:lang w:eastAsia="ar-SA"/>
              </w:rPr>
              <w:t>1</w:t>
            </w:r>
          </w:p>
        </w:tc>
        <w:tc>
          <w:tcPr>
            <w:tcW w:w="1588" w:type="dxa"/>
          </w:tcPr>
          <w:p w14:paraId="313DF342" w14:textId="77777777" w:rsidR="003D5195" w:rsidRPr="003D5195" w:rsidRDefault="003D5195" w:rsidP="003D5195">
            <w:pPr>
              <w:keepLines/>
              <w:widowControl w:val="0"/>
              <w:jc w:val="center"/>
              <w:rPr>
                <w:b/>
                <w:bCs/>
                <w:szCs w:val="24"/>
                <w:lang w:eastAsia="ar-SA"/>
              </w:rPr>
            </w:pPr>
          </w:p>
        </w:tc>
        <w:tc>
          <w:tcPr>
            <w:tcW w:w="1771" w:type="dxa"/>
          </w:tcPr>
          <w:p w14:paraId="30A9FF59" w14:textId="77777777" w:rsidR="003D5195" w:rsidRPr="003D5195" w:rsidRDefault="003D5195" w:rsidP="003D5195">
            <w:pPr>
              <w:keepLines/>
              <w:widowControl w:val="0"/>
              <w:jc w:val="center"/>
              <w:rPr>
                <w:b/>
                <w:szCs w:val="24"/>
                <w:lang w:eastAsia="ar-SA"/>
              </w:rPr>
            </w:pPr>
            <w:r w:rsidRPr="003D5195">
              <w:rPr>
                <w:b/>
                <w:bCs/>
                <w:szCs w:val="24"/>
                <w:lang w:eastAsia="ar-SA"/>
              </w:rPr>
              <w:t>3 635 321,33</w:t>
            </w:r>
          </w:p>
        </w:tc>
      </w:tr>
    </w:tbl>
    <w:p w14:paraId="4BBB6FF4" w14:textId="77777777" w:rsidR="003D5195" w:rsidRPr="003D5195" w:rsidRDefault="003D5195" w:rsidP="003D5195">
      <w:pPr>
        <w:keepLines/>
        <w:widowControl w:val="0"/>
        <w:tabs>
          <w:tab w:val="left" w:pos="5865"/>
        </w:tabs>
        <w:jc w:val="center"/>
        <w:rPr>
          <w:color w:val="auto"/>
          <w:sz w:val="20"/>
          <w:lang w:eastAsia="ar-SA"/>
        </w:rPr>
      </w:pPr>
    </w:p>
    <w:p w14:paraId="70C2BCE1" w14:textId="77777777" w:rsidR="003D5195" w:rsidRPr="003D5195" w:rsidRDefault="003D5195" w:rsidP="003D5195">
      <w:pPr>
        <w:suppressAutoHyphens/>
        <w:jc w:val="center"/>
        <w:rPr>
          <w:b/>
          <w:color w:val="auto"/>
          <w:szCs w:val="24"/>
          <w:lang w:eastAsia="ar-SA"/>
        </w:rPr>
      </w:pPr>
      <w:r w:rsidRPr="003D5195">
        <w:rPr>
          <w:b/>
          <w:color w:val="auto"/>
          <w:szCs w:val="24"/>
          <w:lang w:eastAsia="ar-SA"/>
        </w:rPr>
        <w:t>Требования к качеству работ</w:t>
      </w:r>
    </w:p>
    <w:p w14:paraId="79D4EA63" w14:textId="77777777" w:rsidR="003D5195" w:rsidRPr="003D5195" w:rsidRDefault="003D5195" w:rsidP="003D5195">
      <w:pPr>
        <w:suppressAutoHyphens/>
        <w:ind w:firstLine="709"/>
        <w:jc w:val="both"/>
        <w:rPr>
          <w:color w:val="auto"/>
          <w:sz w:val="12"/>
          <w:szCs w:val="12"/>
          <w:lang w:eastAsia="ar-SA"/>
        </w:rPr>
      </w:pPr>
    </w:p>
    <w:p w14:paraId="7830D278" w14:textId="77777777" w:rsidR="003D5195" w:rsidRPr="003D5195" w:rsidRDefault="003D5195" w:rsidP="003D5195">
      <w:pPr>
        <w:suppressAutoHyphens/>
        <w:ind w:firstLine="709"/>
        <w:jc w:val="both"/>
        <w:rPr>
          <w:color w:val="auto"/>
          <w:szCs w:val="24"/>
          <w:lang w:eastAsia="ar-SA"/>
        </w:rPr>
      </w:pPr>
      <w:r w:rsidRPr="003D5195">
        <w:rPr>
          <w:color w:val="auto"/>
          <w:szCs w:val="24"/>
          <w:lang w:eastAsia="ar-SA"/>
        </w:rPr>
        <w:t>Выполняемые работы по обеспечению пострадавших протезами должны содержать комплекс медицинских, технических и социальных мероприятий, проводимых с пациентами, имеющими нарушения и (или) дефекты,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w:t>
      </w:r>
    </w:p>
    <w:p w14:paraId="04074533" w14:textId="77777777" w:rsidR="003D5195" w:rsidRPr="003D5195" w:rsidRDefault="003D5195" w:rsidP="003D5195">
      <w:pPr>
        <w:widowControl w:val="0"/>
        <w:suppressAutoHyphens/>
        <w:ind w:firstLine="709"/>
        <w:jc w:val="both"/>
        <w:rPr>
          <w:rFonts w:eastAsia="Calibri"/>
          <w:szCs w:val="24"/>
          <w:lang w:eastAsia="ar-SA"/>
        </w:rPr>
      </w:pPr>
      <w:r w:rsidRPr="003D5195">
        <w:rPr>
          <w:rFonts w:eastAsia="Calibri"/>
          <w:szCs w:val="24"/>
          <w:lang w:eastAsia="ar-SA"/>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верхней конечности пациента с помощью протеза кисти с микропроцессорным управлением.</w:t>
      </w:r>
    </w:p>
    <w:p w14:paraId="25F675E5" w14:textId="77777777" w:rsidR="003D5195" w:rsidRPr="003D5195" w:rsidRDefault="003D5195" w:rsidP="003D5195">
      <w:pPr>
        <w:suppressAutoHyphens/>
        <w:ind w:firstLine="709"/>
        <w:jc w:val="both"/>
        <w:rPr>
          <w:color w:val="auto"/>
          <w:szCs w:val="24"/>
          <w:lang w:eastAsia="ar-SA"/>
        </w:rPr>
      </w:pPr>
      <w:r w:rsidRPr="003D5195">
        <w:rPr>
          <w:color w:val="auto"/>
          <w:szCs w:val="24"/>
          <w:lang w:eastAsia="ar-SA"/>
        </w:rPr>
        <w:t>Изделие должно быть изготовлено с учетом анатомических дефектов, индивидуально для Получателя, при этом необходимо максимально учитывать физическое состояние, индивидуальные особенности Получателя, его психологический статус, частную жизнь, индивидуальный уровень двигательной активности и иные значимые для целей реабилитации медико-социальные аспекты.</w:t>
      </w:r>
    </w:p>
    <w:p w14:paraId="7B1586CA" w14:textId="77777777" w:rsidR="003D5195" w:rsidRPr="003D5195" w:rsidRDefault="003D5195" w:rsidP="003D5195">
      <w:pPr>
        <w:suppressAutoHyphens/>
        <w:ind w:firstLine="709"/>
        <w:jc w:val="both"/>
        <w:rPr>
          <w:color w:val="auto"/>
          <w:szCs w:val="24"/>
          <w:lang w:eastAsia="ar-SA"/>
        </w:rPr>
      </w:pPr>
      <w:r w:rsidRPr="003D5195">
        <w:rPr>
          <w:color w:val="auto"/>
          <w:szCs w:val="24"/>
          <w:lang w:eastAsia="ar-SA"/>
        </w:rPr>
        <w:t>Протез верхней конечности должен соответствовать ГОСТ Р 56138-2014 «Протезы верхних конечностей. Технические требования».</w:t>
      </w:r>
      <w:r w:rsidRPr="003D5195">
        <w:rPr>
          <w:rFonts w:eastAsia="Calibri"/>
          <w:color w:val="auto"/>
          <w:szCs w:val="24"/>
          <w:lang w:eastAsia="ar-SA"/>
        </w:rPr>
        <w:t xml:space="preserve"> Протезы с внешним источником энергии отвечают требованиям по обеспечению электромагнитной совместимостью ГОСТ Р ИСО 22523-2007 «Протезы конечностей и </w:t>
      </w:r>
      <w:proofErr w:type="spellStart"/>
      <w:r w:rsidRPr="003D5195">
        <w:rPr>
          <w:rFonts w:eastAsia="Calibri"/>
          <w:color w:val="auto"/>
          <w:szCs w:val="24"/>
          <w:lang w:eastAsia="ar-SA"/>
        </w:rPr>
        <w:t>ортезы</w:t>
      </w:r>
      <w:proofErr w:type="spellEnd"/>
      <w:r w:rsidRPr="003D5195">
        <w:rPr>
          <w:rFonts w:eastAsia="Calibri"/>
          <w:color w:val="auto"/>
          <w:szCs w:val="24"/>
          <w:lang w:eastAsia="ar-SA"/>
        </w:rPr>
        <w:t xml:space="preserve"> наружные. Требования и методы испытаний» (раздел 7).</w:t>
      </w:r>
      <w:r w:rsidRPr="003D5195">
        <w:rPr>
          <w:color w:val="auto"/>
          <w:szCs w:val="24"/>
          <w:lang w:eastAsia="ar-SA"/>
        </w:rPr>
        <w:t xml:space="preserve"> </w:t>
      </w:r>
      <w:r w:rsidRPr="003D5195">
        <w:rPr>
          <w:rFonts w:eastAsia="Calibri"/>
          <w:color w:val="auto"/>
          <w:szCs w:val="24"/>
          <w:lang w:eastAsia="ar-SA"/>
        </w:rPr>
        <w:t xml:space="preserve">ГОСТ Р 58267-2018 «Протезы наружные верхних конечностей. Термины и определения. Классификация». </w:t>
      </w:r>
      <w:r w:rsidRPr="003D5195">
        <w:rPr>
          <w:color w:val="auto"/>
          <w:szCs w:val="24"/>
          <w:lang w:eastAsia="ar-SA"/>
        </w:rPr>
        <w:t>Обеспечение возможности ремонта, устранения недостатков при обеспечении Получателей товарами осуществляется в соответствии с Федеральным законом от 07.02.1992 №2300-1 «О защите прав потребителей».</w:t>
      </w:r>
    </w:p>
    <w:p w14:paraId="03E0E0DB" w14:textId="77777777" w:rsidR="003D5195" w:rsidRPr="003D5195" w:rsidRDefault="003D5195" w:rsidP="003D5195">
      <w:pPr>
        <w:suppressAutoHyphens/>
        <w:ind w:firstLine="709"/>
        <w:jc w:val="both"/>
        <w:rPr>
          <w:color w:val="auto"/>
          <w:szCs w:val="24"/>
          <w:lang w:eastAsia="ar-SA"/>
        </w:rPr>
      </w:pPr>
      <w:r w:rsidRPr="003D5195">
        <w:rPr>
          <w:color w:val="auto"/>
          <w:szCs w:val="24"/>
          <w:lang w:eastAsia="ar-SA"/>
        </w:rPr>
        <w:t>- ГОСТ Р 51632-2021 «Технические средства реабилитации людей с ограничениями жизнедеятельности. Общие технические требования и методы испытаний» (п.4.1.1, п.4.4.1);</w:t>
      </w:r>
    </w:p>
    <w:p w14:paraId="651EF392" w14:textId="77777777" w:rsidR="003D5195" w:rsidRPr="003D5195" w:rsidRDefault="003D5195" w:rsidP="003D5195">
      <w:pPr>
        <w:suppressAutoHyphens/>
        <w:ind w:firstLine="709"/>
        <w:jc w:val="both"/>
        <w:rPr>
          <w:color w:val="auto"/>
          <w:szCs w:val="24"/>
          <w:lang w:eastAsia="ar-SA"/>
        </w:rPr>
      </w:pPr>
      <w:r w:rsidRPr="003D5195">
        <w:rPr>
          <w:color w:val="auto"/>
          <w:szCs w:val="24"/>
          <w:lang w:eastAsia="ar-SA"/>
        </w:rPr>
        <w:t>Протезы должны соответствовать требованиям Федерального закона от 21.11.2011 № 323-ФЗ «Об основах охраны здоровья граждан в РФ»</w:t>
      </w:r>
    </w:p>
    <w:p w14:paraId="24F68431" w14:textId="77777777" w:rsidR="003D5195" w:rsidRPr="003D5195" w:rsidRDefault="003D5195" w:rsidP="003D5195">
      <w:pPr>
        <w:suppressAutoHyphens/>
        <w:ind w:firstLine="709"/>
        <w:jc w:val="center"/>
        <w:rPr>
          <w:b/>
          <w:color w:val="auto"/>
          <w:szCs w:val="24"/>
          <w:lang w:eastAsia="ar-SA"/>
        </w:rPr>
      </w:pPr>
      <w:r w:rsidRPr="003D5195">
        <w:rPr>
          <w:b/>
          <w:color w:val="auto"/>
          <w:szCs w:val="24"/>
          <w:lang w:eastAsia="ar-SA"/>
        </w:rPr>
        <w:t>Требования к безопасности работ</w:t>
      </w:r>
    </w:p>
    <w:p w14:paraId="6C0BB813" w14:textId="77777777" w:rsidR="003D5195" w:rsidRPr="003D5195" w:rsidRDefault="003D5195" w:rsidP="003D5195">
      <w:pPr>
        <w:suppressAutoHyphens/>
        <w:ind w:firstLine="709"/>
        <w:jc w:val="both"/>
        <w:rPr>
          <w:color w:val="auto"/>
          <w:szCs w:val="24"/>
          <w:lang w:eastAsia="ar-SA"/>
        </w:rPr>
      </w:pPr>
      <w:r w:rsidRPr="003D5195">
        <w:rPr>
          <w:color w:val="auto"/>
          <w:szCs w:val="24"/>
          <w:lang w:eastAsia="ar-SA"/>
        </w:rPr>
        <w:t>Проведение работ по обеспечению пострадавших протезами должны осуществляться в соответствии с требованиями, установленными законодательством Российской Федерации на основании сертификатов (деклараций) соответствия и протоколов испытаний.</w:t>
      </w:r>
    </w:p>
    <w:p w14:paraId="0C28A099" w14:textId="77777777" w:rsidR="003D5195" w:rsidRPr="003D5195" w:rsidRDefault="003D5195" w:rsidP="003D5195">
      <w:pPr>
        <w:suppressAutoHyphens/>
        <w:ind w:firstLine="709"/>
        <w:jc w:val="center"/>
        <w:rPr>
          <w:b/>
          <w:color w:val="auto"/>
          <w:szCs w:val="24"/>
          <w:lang w:eastAsia="ar-SA"/>
        </w:rPr>
      </w:pPr>
      <w:bookmarkStart w:id="0" w:name="_GoBack"/>
      <w:bookmarkEnd w:id="0"/>
      <w:r w:rsidRPr="003D5195">
        <w:rPr>
          <w:b/>
          <w:color w:val="auto"/>
          <w:szCs w:val="24"/>
          <w:lang w:eastAsia="ar-SA"/>
        </w:rPr>
        <w:t>Требования к результатам работ</w:t>
      </w:r>
    </w:p>
    <w:p w14:paraId="2CFA3675" w14:textId="682480C9" w:rsidR="003D5195" w:rsidRPr="003D5195" w:rsidRDefault="003D5195" w:rsidP="003D5195">
      <w:pPr>
        <w:widowControl w:val="0"/>
        <w:suppressAutoHyphens/>
        <w:ind w:firstLine="709"/>
        <w:jc w:val="both"/>
        <w:rPr>
          <w:rFonts w:eastAsia="Calibri"/>
          <w:szCs w:val="24"/>
          <w:lang w:eastAsia="ar-SA"/>
        </w:rPr>
      </w:pPr>
      <w:r w:rsidRPr="003D5195">
        <w:rPr>
          <w:rFonts w:eastAsia="Calibri"/>
          <w:szCs w:val="24"/>
          <w:lang w:eastAsia="ar-SA"/>
        </w:rPr>
        <w:t>, если у пострадавшего восстановлены опорная и двигательная функция конечности, созданы условия для предупреждения развития деформации и благоприятного течения болезни.</w:t>
      </w:r>
    </w:p>
    <w:p w14:paraId="1607E6A5" w14:textId="77777777" w:rsidR="003D5195" w:rsidRPr="003D5195" w:rsidRDefault="003D5195" w:rsidP="003D5195">
      <w:pPr>
        <w:widowControl w:val="0"/>
        <w:suppressAutoHyphens/>
        <w:ind w:firstLine="709"/>
        <w:jc w:val="both"/>
        <w:rPr>
          <w:rFonts w:eastAsia="Calibri"/>
          <w:szCs w:val="24"/>
          <w:lang w:eastAsia="ar-SA"/>
        </w:rPr>
      </w:pPr>
      <w:r w:rsidRPr="003D5195">
        <w:rPr>
          <w:rFonts w:eastAsia="Calibri"/>
          <w:szCs w:val="24"/>
          <w:lang w:eastAsia="ar-SA"/>
        </w:rPr>
        <w:t>В соответствии с приказом Минтруда России от 05.03.2021 №107н «Об утверждении сроков пользования техническими средствами реабилитации, протезами и протезно-ортопедическими изделиями» срок пользования техническими средствами реабилитации, протезом и протезно-ортопедическим изделием исчисляется с даты предоставления его инвалиду.</w:t>
      </w:r>
    </w:p>
    <w:p w14:paraId="48280E00" w14:textId="77777777" w:rsidR="003D5195" w:rsidRPr="003D5195" w:rsidRDefault="003D5195" w:rsidP="003D5195">
      <w:pPr>
        <w:suppressAutoHyphens/>
        <w:ind w:firstLine="709"/>
        <w:jc w:val="center"/>
        <w:rPr>
          <w:b/>
          <w:color w:val="auto"/>
          <w:sz w:val="20"/>
          <w:lang w:eastAsia="ar-SA"/>
        </w:rPr>
      </w:pPr>
    </w:p>
    <w:p w14:paraId="43ADE978" w14:textId="77777777" w:rsidR="003D5195" w:rsidRPr="003D5195" w:rsidRDefault="003D5195" w:rsidP="003D5195">
      <w:pPr>
        <w:suppressAutoHyphens/>
        <w:ind w:firstLine="709"/>
        <w:jc w:val="center"/>
        <w:rPr>
          <w:b/>
          <w:color w:val="auto"/>
          <w:szCs w:val="24"/>
          <w:lang w:eastAsia="ar-SA"/>
        </w:rPr>
      </w:pPr>
      <w:r w:rsidRPr="003D5195">
        <w:rPr>
          <w:b/>
          <w:color w:val="auto"/>
          <w:szCs w:val="24"/>
          <w:lang w:eastAsia="ar-SA"/>
        </w:rPr>
        <w:t>Место, условия и сроки (периоды) выполнения работ</w:t>
      </w:r>
    </w:p>
    <w:p w14:paraId="6A7F6EF9" w14:textId="77777777" w:rsidR="003D5195" w:rsidRPr="003D5195" w:rsidRDefault="003D5195" w:rsidP="003D5195">
      <w:pPr>
        <w:suppressAutoHyphens/>
        <w:ind w:firstLine="709"/>
        <w:jc w:val="both"/>
        <w:rPr>
          <w:color w:val="auto"/>
          <w:szCs w:val="24"/>
          <w:lang w:eastAsia="ar-SA"/>
        </w:rPr>
      </w:pPr>
      <w:r w:rsidRPr="003D5195">
        <w:rPr>
          <w:b/>
          <w:color w:val="auto"/>
          <w:szCs w:val="24"/>
          <w:lang w:eastAsia="ar-SA"/>
        </w:rPr>
        <w:t>Условия и сроки (периоды) выполнения работ</w:t>
      </w:r>
      <w:r w:rsidRPr="003D5195">
        <w:rPr>
          <w:color w:val="auto"/>
          <w:szCs w:val="24"/>
          <w:lang w:eastAsia="ar-SA"/>
        </w:rPr>
        <w:t>: срок изготовления протезно-ортопедического изделия не должен превышать 44 (сорока четырех) рабочих дней со дня обращения Получателя с направлением Заказчика. Срок завершения работ должен быть не позднее 01.08.2023.</w:t>
      </w:r>
    </w:p>
    <w:p w14:paraId="35D14191" w14:textId="77777777" w:rsidR="003D5195" w:rsidRPr="003D5195" w:rsidRDefault="003D5195" w:rsidP="003D5195">
      <w:pPr>
        <w:suppressAutoHyphens/>
        <w:ind w:firstLine="709"/>
        <w:jc w:val="both"/>
        <w:rPr>
          <w:color w:val="auto"/>
          <w:szCs w:val="24"/>
          <w:lang w:eastAsia="ar-SA"/>
        </w:rPr>
      </w:pPr>
    </w:p>
    <w:p w14:paraId="37CD32DD" w14:textId="77777777" w:rsidR="003D5195" w:rsidRPr="003D5195" w:rsidRDefault="003D5195" w:rsidP="003D5195">
      <w:pPr>
        <w:suppressAutoHyphens/>
        <w:ind w:firstLine="709"/>
        <w:jc w:val="both"/>
        <w:rPr>
          <w:color w:val="auto"/>
          <w:szCs w:val="24"/>
          <w:lang w:eastAsia="ar-SA"/>
        </w:rPr>
      </w:pPr>
      <w:r w:rsidRPr="003D5195">
        <w:rPr>
          <w:b/>
          <w:color w:val="auto"/>
          <w:szCs w:val="24"/>
          <w:lang w:eastAsia="ar-SA"/>
        </w:rPr>
        <w:t>Место доставки товара, выполнения работ, оказания услуг:</w:t>
      </w:r>
      <w:r w:rsidRPr="003D5195">
        <w:rPr>
          <w:color w:val="auto"/>
          <w:szCs w:val="24"/>
          <w:lang w:eastAsia="ar-SA"/>
        </w:rPr>
        <w:t xml:space="preserve"> г. Краснодар, Краснодарский край по месту нахождения Исполнителя.</w:t>
      </w:r>
    </w:p>
    <w:p w14:paraId="5625244C" w14:textId="77777777" w:rsidR="003D5195" w:rsidRPr="003D5195" w:rsidRDefault="003D5195" w:rsidP="003D5195">
      <w:pPr>
        <w:suppressAutoHyphens/>
        <w:ind w:firstLine="709"/>
        <w:jc w:val="both"/>
        <w:rPr>
          <w:color w:val="auto"/>
          <w:szCs w:val="24"/>
          <w:lang w:eastAsia="ar-SA"/>
        </w:rPr>
      </w:pPr>
    </w:p>
    <w:p w14:paraId="69EE538B" w14:textId="79987098" w:rsidR="003D5195" w:rsidRPr="003D5195" w:rsidRDefault="003D5195" w:rsidP="003D5195">
      <w:pPr>
        <w:keepLines/>
        <w:widowControl w:val="0"/>
        <w:tabs>
          <w:tab w:val="left" w:pos="3828"/>
          <w:tab w:val="center" w:pos="5244"/>
        </w:tabs>
        <w:jc w:val="both"/>
        <w:rPr>
          <w:color w:val="auto"/>
          <w:szCs w:val="24"/>
          <w:lang w:eastAsia="ar-SA"/>
        </w:rPr>
      </w:pPr>
      <w:r w:rsidRPr="003D5195">
        <w:rPr>
          <w:b/>
          <w:color w:val="auto"/>
          <w:szCs w:val="24"/>
          <w:lang w:eastAsia="ar-SA"/>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r w:rsidRPr="003D5195">
        <w:rPr>
          <w:color w:val="auto"/>
          <w:szCs w:val="24"/>
          <w:lang w:eastAsia="ar-SA"/>
        </w:rPr>
        <w:t>.: Срок предоставления гарантии должен составлять не менее 12 месяцев с момента выдачи изделия Получателю. В течение гарантийного срока Исполнитель должен производить замену или ремонт изделия бесплатно. Срок выполнения гарантийного ремонта со дня обращения Получателя не должен превышать 20 рабочих дней.</w:t>
      </w:r>
    </w:p>
    <w:p w14:paraId="19EA597E" w14:textId="77777777" w:rsidR="003D5195" w:rsidRDefault="003D5195" w:rsidP="00A228FF">
      <w:pPr>
        <w:keepLines/>
        <w:widowControl w:val="0"/>
        <w:jc w:val="center"/>
        <w:rPr>
          <w:b/>
          <w:szCs w:val="24"/>
        </w:rPr>
      </w:pPr>
    </w:p>
    <w:sectPr w:rsidR="003D5195" w:rsidSect="006D0631">
      <w:pgSz w:w="16838" w:h="11906" w:orient="landscape"/>
      <w:pgMar w:top="1135" w:right="820" w:bottom="851"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7707F6D3" w14:textId="77777777" w:rsidR="003D5195" w:rsidRDefault="003D5195" w:rsidP="003D5195">
      <w:pPr>
        <w:pStyle w:val="affff4"/>
      </w:pPr>
      <w:r>
        <w:rPr>
          <w:rStyle w:val="affff6"/>
        </w:rPr>
        <w:footnoteRef/>
      </w:r>
      <w:r>
        <w:t xml:space="preserve"> Не более</w:t>
      </w:r>
    </w:p>
  </w:footnote>
  <w:footnote w:id="2">
    <w:p w14:paraId="0794FC1C" w14:textId="77777777" w:rsidR="003D5195" w:rsidRDefault="003D5195" w:rsidP="003D5195">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07501"/>
    <w:rsid w:val="00012BC5"/>
    <w:rsid w:val="00021608"/>
    <w:rsid w:val="00027E1A"/>
    <w:rsid w:val="000300F0"/>
    <w:rsid w:val="000335EA"/>
    <w:rsid w:val="0005153E"/>
    <w:rsid w:val="000571F7"/>
    <w:rsid w:val="00062B7B"/>
    <w:rsid w:val="00084A35"/>
    <w:rsid w:val="0009531E"/>
    <w:rsid w:val="000A43FB"/>
    <w:rsid w:val="000B0A1F"/>
    <w:rsid w:val="000C3455"/>
    <w:rsid w:val="000E7E2B"/>
    <w:rsid w:val="000F20C4"/>
    <w:rsid w:val="000F43FB"/>
    <w:rsid w:val="001040CE"/>
    <w:rsid w:val="0011323D"/>
    <w:rsid w:val="001216D3"/>
    <w:rsid w:val="00124B64"/>
    <w:rsid w:val="0013772F"/>
    <w:rsid w:val="00146DA1"/>
    <w:rsid w:val="001509C1"/>
    <w:rsid w:val="00163148"/>
    <w:rsid w:val="00172100"/>
    <w:rsid w:val="00194410"/>
    <w:rsid w:val="00194708"/>
    <w:rsid w:val="001967B7"/>
    <w:rsid w:val="001A42DF"/>
    <w:rsid w:val="001B422E"/>
    <w:rsid w:val="001B5335"/>
    <w:rsid w:val="001C02FA"/>
    <w:rsid w:val="001C2601"/>
    <w:rsid w:val="001C54FA"/>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75BFE"/>
    <w:rsid w:val="003833D3"/>
    <w:rsid w:val="00395E85"/>
    <w:rsid w:val="003D052C"/>
    <w:rsid w:val="003D5195"/>
    <w:rsid w:val="003D5A0D"/>
    <w:rsid w:val="004031D1"/>
    <w:rsid w:val="004047DE"/>
    <w:rsid w:val="00412270"/>
    <w:rsid w:val="00414B6D"/>
    <w:rsid w:val="00431882"/>
    <w:rsid w:val="00433F8E"/>
    <w:rsid w:val="004438E1"/>
    <w:rsid w:val="00451019"/>
    <w:rsid w:val="004542A4"/>
    <w:rsid w:val="0046001A"/>
    <w:rsid w:val="00460E65"/>
    <w:rsid w:val="00466B3A"/>
    <w:rsid w:val="0047729F"/>
    <w:rsid w:val="00487CF6"/>
    <w:rsid w:val="004A0413"/>
    <w:rsid w:val="004B339D"/>
    <w:rsid w:val="004B668B"/>
    <w:rsid w:val="004D0D74"/>
    <w:rsid w:val="004D4B0A"/>
    <w:rsid w:val="004E4016"/>
    <w:rsid w:val="004F1680"/>
    <w:rsid w:val="004F3DD3"/>
    <w:rsid w:val="00503FAF"/>
    <w:rsid w:val="00507DC7"/>
    <w:rsid w:val="0051087F"/>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5EAB"/>
    <w:rsid w:val="005E781C"/>
    <w:rsid w:val="005F734A"/>
    <w:rsid w:val="005F7457"/>
    <w:rsid w:val="006026B6"/>
    <w:rsid w:val="00604196"/>
    <w:rsid w:val="00621334"/>
    <w:rsid w:val="00624297"/>
    <w:rsid w:val="00627C14"/>
    <w:rsid w:val="006638D1"/>
    <w:rsid w:val="00670B7C"/>
    <w:rsid w:val="00690E40"/>
    <w:rsid w:val="00693A56"/>
    <w:rsid w:val="006940E7"/>
    <w:rsid w:val="00696F3D"/>
    <w:rsid w:val="006978FC"/>
    <w:rsid w:val="006A1737"/>
    <w:rsid w:val="006B7795"/>
    <w:rsid w:val="006C17CD"/>
    <w:rsid w:val="006C20AD"/>
    <w:rsid w:val="006C3C1F"/>
    <w:rsid w:val="006D0631"/>
    <w:rsid w:val="006D2AB3"/>
    <w:rsid w:val="006D30FF"/>
    <w:rsid w:val="006E21ED"/>
    <w:rsid w:val="006E6C80"/>
    <w:rsid w:val="006F3AE7"/>
    <w:rsid w:val="0072285C"/>
    <w:rsid w:val="00737E76"/>
    <w:rsid w:val="007507B9"/>
    <w:rsid w:val="007526CD"/>
    <w:rsid w:val="00754B1E"/>
    <w:rsid w:val="00754F59"/>
    <w:rsid w:val="00770048"/>
    <w:rsid w:val="00775B44"/>
    <w:rsid w:val="00786AE2"/>
    <w:rsid w:val="007A667C"/>
    <w:rsid w:val="007B52CF"/>
    <w:rsid w:val="007B62A2"/>
    <w:rsid w:val="007C1661"/>
    <w:rsid w:val="007C27B1"/>
    <w:rsid w:val="007C27DC"/>
    <w:rsid w:val="007C32D2"/>
    <w:rsid w:val="007C5358"/>
    <w:rsid w:val="007D253D"/>
    <w:rsid w:val="007E084A"/>
    <w:rsid w:val="00801C67"/>
    <w:rsid w:val="00815D38"/>
    <w:rsid w:val="00843A71"/>
    <w:rsid w:val="00845D67"/>
    <w:rsid w:val="008469F5"/>
    <w:rsid w:val="00854776"/>
    <w:rsid w:val="00857023"/>
    <w:rsid w:val="00865F7D"/>
    <w:rsid w:val="00882FED"/>
    <w:rsid w:val="008831B7"/>
    <w:rsid w:val="008873EB"/>
    <w:rsid w:val="008A7512"/>
    <w:rsid w:val="008B4F66"/>
    <w:rsid w:val="008B7BC9"/>
    <w:rsid w:val="008E07C7"/>
    <w:rsid w:val="008E54EF"/>
    <w:rsid w:val="008F320D"/>
    <w:rsid w:val="008F3E8F"/>
    <w:rsid w:val="008F7EE2"/>
    <w:rsid w:val="00901437"/>
    <w:rsid w:val="00925B02"/>
    <w:rsid w:val="00926AF6"/>
    <w:rsid w:val="0093322E"/>
    <w:rsid w:val="00954674"/>
    <w:rsid w:val="009619DB"/>
    <w:rsid w:val="00963739"/>
    <w:rsid w:val="00970302"/>
    <w:rsid w:val="009774F1"/>
    <w:rsid w:val="00990953"/>
    <w:rsid w:val="009970BA"/>
    <w:rsid w:val="009972A0"/>
    <w:rsid w:val="009C0DF5"/>
    <w:rsid w:val="009C750F"/>
    <w:rsid w:val="009D3DD9"/>
    <w:rsid w:val="009E4098"/>
    <w:rsid w:val="009F2CAE"/>
    <w:rsid w:val="009F2EEA"/>
    <w:rsid w:val="009F45BB"/>
    <w:rsid w:val="009F7006"/>
    <w:rsid w:val="00A103BB"/>
    <w:rsid w:val="00A228FF"/>
    <w:rsid w:val="00A25E32"/>
    <w:rsid w:val="00A26D86"/>
    <w:rsid w:val="00A34808"/>
    <w:rsid w:val="00A367F1"/>
    <w:rsid w:val="00A41014"/>
    <w:rsid w:val="00A464C9"/>
    <w:rsid w:val="00A47234"/>
    <w:rsid w:val="00A4752E"/>
    <w:rsid w:val="00A727C9"/>
    <w:rsid w:val="00A72870"/>
    <w:rsid w:val="00A774C8"/>
    <w:rsid w:val="00AB1D6B"/>
    <w:rsid w:val="00AC2CF3"/>
    <w:rsid w:val="00AE4A66"/>
    <w:rsid w:val="00AF1A38"/>
    <w:rsid w:val="00AF570F"/>
    <w:rsid w:val="00B16B16"/>
    <w:rsid w:val="00B264C6"/>
    <w:rsid w:val="00B27775"/>
    <w:rsid w:val="00B27C95"/>
    <w:rsid w:val="00B3008E"/>
    <w:rsid w:val="00B32DE4"/>
    <w:rsid w:val="00B44FF2"/>
    <w:rsid w:val="00B46BFE"/>
    <w:rsid w:val="00B849FF"/>
    <w:rsid w:val="00B91503"/>
    <w:rsid w:val="00BA552A"/>
    <w:rsid w:val="00BC4A22"/>
    <w:rsid w:val="00BD0741"/>
    <w:rsid w:val="00BD26F7"/>
    <w:rsid w:val="00BD790A"/>
    <w:rsid w:val="00BF1B6F"/>
    <w:rsid w:val="00BF5239"/>
    <w:rsid w:val="00BF7B4A"/>
    <w:rsid w:val="00C131AD"/>
    <w:rsid w:val="00C135FC"/>
    <w:rsid w:val="00C4670A"/>
    <w:rsid w:val="00C530AB"/>
    <w:rsid w:val="00C66120"/>
    <w:rsid w:val="00C67BED"/>
    <w:rsid w:val="00C70E59"/>
    <w:rsid w:val="00C77893"/>
    <w:rsid w:val="00CA0E02"/>
    <w:rsid w:val="00CA2E18"/>
    <w:rsid w:val="00CA5DB7"/>
    <w:rsid w:val="00CA6C7F"/>
    <w:rsid w:val="00CD4EE9"/>
    <w:rsid w:val="00CE0D8D"/>
    <w:rsid w:val="00CF06E2"/>
    <w:rsid w:val="00CF3C85"/>
    <w:rsid w:val="00D1519D"/>
    <w:rsid w:val="00D26507"/>
    <w:rsid w:val="00D37547"/>
    <w:rsid w:val="00D418EF"/>
    <w:rsid w:val="00D60532"/>
    <w:rsid w:val="00D67204"/>
    <w:rsid w:val="00D73166"/>
    <w:rsid w:val="00D772AE"/>
    <w:rsid w:val="00D843F9"/>
    <w:rsid w:val="00D87F95"/>
    <w:rsid w:val="00DC02BF"/>
    <w:rsid w:val="00DC615A"/>
    <w:rsid w:val="00DD390A"/>
    <w:rsid w:val="00DF5110"/>
    <w:rsid w:val="00DF5688"/>
    <w:rsid w:val="00E05835"/>
    <w:rsid w:val="00E06F0E"/>
    <w:rsid w:val="00E20082"/>
    <w:rsid w:val="00E43D1E"/>
    <w:rsid w:val="00E462E9"/>
    <w:rsid w:val="00E478CF"/>
    <w:rsid w:val="00E665FE"/>
    <w:rsid w:val="00E812D9"/>
    <w:rsid w:val="00E9144B"/>
    <w:rsid w:val="00E91DED"/>
    <w:rsid w:val="00EA2A17"/>
    <w:rsid w:val="00EC3F05"/>
    <w:rsid w:val="00ED68D5"/>
    <w:rsid w:val="00EE756A"/>
    <w:rsid w:val="00EF0150"/>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2C5C"/>
    <w:rsid w:val="00F935B8"/>
    <w:rsid w:val="00FD027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4D0D7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2"/>
    <w:uiPriority w:val="59"/>
    <w:rsid w:val="00ED68D5"/>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fff2"/>
    <w:uiPriority w:val="59"/>
    <w:rsid w:val="004D4B0A"/>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fff2"/>
    <w:uiPriority w:val="59"/>
    <w:rsid w:val="00BC4A22"/>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fff2"/>
    <w:uiPriority w:val="59"/>
    <w:rsid w:val="006E21ED"/>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Strong"/>
    <w:basedOn w:val="a0"/>
    <w:uiPriority w:val="22"/>
    <w:qFormat/>
    <w:rsid w:val="00B16B16"/>
    <w:rPr>
      <w:b/>
      <w:bCs/>
    </w:rPr>
  </w:style>
  <w:style w:type="table" w:customStyle="1" w:styleId="216">
    <w:name w:val="Сетка таблицы21"/>
    <w:basedOn w:val="a1"/>
    <w:next w:val="affff2"/>
    <w:uiPriority w:val="59"/>
    <w:rsid w:val="003D5195"/>
    <w:pPr>
      <w:spacing w:after="60" w:line="240" w:lineRule="auto"/>
      <w:jc w:val="both"/>
    </w:pPr>
    <w:rPr>
      <w:rFonts w:ascii="Times New Roman"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6211090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C16A-3F07-4FCB-816F-100643AC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Коноплева Лидия Сергеевна</cp:lastModifiedBy>
  <cp:revision>297</cp:revision>
  <dcterms:created xsi:type="dcterms:W3CDTF">2021-12-29T15:28:00Z</dcterms:created>
  <dcterms:modified xsi:type="dcterms:W3CDTF">2023-03-27T10:49:00Z</dcterms:modified>
</cp:coreProperties>
</file>