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AD" w:rsidRPr="00632245" w:rsidRDefault="009226AD" w:rsidP="009226AD">
      <w:pPr>
        <w:spacing w:after="160" w:line="259" w:lineRule="auto"/>
        <w:jc w:val="both"/>
        <w:rPr>
          <w:rFonts w:eastAsia="Andale Sans UI"/>
          <w:kern w:val="1"/>
          <w:lang w:eastAsia="ar-SA"/>
        </w:rPr>
      </w:pPr>
      <w:r w:rsidRPr="00632245">
        <w:rPr>
          <w:b/>
          <w:bCs/>
          <w:kern w:val="1"/>
        </w:rPr>
        <w:t xml:space="preserve">Место </w:t>
      </w:r>
      <w:r w:rsidR="00427C62" w:rsidRPr="00632245">
        <w:rPr>
          <w:b/>
          <w:bCs/>
          <w:kern w:val="1"/>
        </w:rPr>
        <w:t>поставки товара</w:t>
      </w:r>
      <w:r w:rsidRPr="00632245">
        <w:rPr>
          <w:b/>
          <w:bCs/>
          <w:kern w:val="1"/>
        </w:rPr>
        <w:t xml:space="preserve">: </w:t>
      </w:r>
      <w:r w:rsidR="00C87CBF" w:rsidRPr="00632245">
        <w:rPr>
          <w:rFonts w:eastAsia="Andale Sans UI"/>
          <w:kern w:val="1"/>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p>
    <w:p w:rsidR="000A357E" w:rsidRPr="00632245" w:rsidRDefault="009226AD" w:rsidP="009A4C9B">
      <w:pPr>
        <w:spacing w:after="160" w:line="259" w:lineRule="auto"/>
        <w:jc w:val="both"/>
        <w:rPr>
          <w:rFonts w:eastAsia="Andale Sans UI"/>
          <w:kern w:val="1"/>
          <w:lang w:eastAsia="ar-SA"/>
        </w:rPr>
      </w:pPr>
      <w:r w:rsidRPr="00632245">
        <w:rPr>
          <w:b/>
          <w:bCs/>
          <w:kern w:val="1"/>
        </w:rPr>
        <w:t xml:space="preserve">Сроки </w:t>
      </w:r>
      <w:r w:rsidR="00427C62" w:rsidRPr="00632245">
        <w:rPr>
          <w:b/>
          <w:bCs/>
          <w:kern w:val="1"/>
        </w:rPr>
        <w:t>поставки товара</w:t>
      </w:r>
      <w:r w:rsidRPr="00632245">
        <w:rPr>
          <w:b/>
          <w:bCs/>
          <w:kern w:val="1"/>
        </w:rPr>
        <w:t xml:space="preserve">: </w:t>
      </w:r>
      <w:r w:rsidR="00427C62" w:rsidRPr="00632245">
        <w:rPr>
          <w:rFonts w:eastAsia="Andale Sans UI"/>
          <w:kern w:val="1"/>
          <w:lang w:eastAsia="ar-SA"/>
        </w:rPr>
        <w:t xml:space="preserve">С даты получения от Заказчика реестра получателей Товара </w:t>
      </w:r>
      <w:r w:rsidR="00864824" w:rsidRPr="007F0226">
        <w:t xml:space="preserve">по </w:t>
      </w:r>
      <w:r w:rsidR="006F0DAD">
        <w:t>30</w:t>
      </w:r>
      <w:r w:rsidR="00864824" w:rsidRPr="00A6346C">
        <w:t>.</w:t>
      </w:r>
      <w:r w:rsidR="006F0DAD">
        <w:t>03</w:t>
      </w:r>
      <w:r w:rsidR="00864824" w:rsidRPr="00A6346C">
        <w:t xml:space="preserve">.2023 </w:t>
      </w:r>
      <w:r w:rsidR="00864824" w:rsidRPr="007F0226">
        <w:t>года.</w:t>
      </w:r>
    </w:p>
    <w:p w:rsidR="00D7115C" w:rsidRDefault="00D7115C" w:rsidP="009A4C9B">
      <w:pPr>
        <w:spacing w:after="160" w:line="259" w:lineRule="auto"/>
        <w:jc w:val="both"/>
      </w:pPr>
      <w:r w:rsidRPr="00632245">
        <w:rPr>
          <w:b/>
        </w:rPr>
        <w:t>Наименование, характеристики и количество поставляемых товаров</w:t>
      </w:r>
      <w:r w:rsidRPr="00632245">
        <w:t>, объем выполняемых работ, оказываемых услуг:</w:t>
      </w:r>
    </w:p>
    <w:p w:rsidR="006F0DAD" w:rsidRPr="004E72FC" w:rsidRDefault="006F0DAD" w:rsidP="006F0DAD">
      <w:pPr>
        <w:contextualSpacing/>
        <w:jc w:val="center"/>
      </w:pPr>
      <w:r w:rsidRPr="004E72FC">
        <w:rPr>
          <w:b/>
          <w:bCs/>
        </w:rPr>
        <w:t>Сведения о включенных в цену товара расходах</w:t>
      </w:r>
    </w:p>
    <w:p w:rsidR="006F0DAD" w:rsidRPr="004E72FC" w:rsidRDefault="006F0DAD" w:rsidP="006F0DAD">
      <w:pPr>
        <w:ind w:firstLine="709"/>
        <w:contextualSpacing/>
        <w:jc w:val="both"/>
        <w:textAlignment w:val="baseline"/>
      </w:pPr>
      <w:r w:rsidRPr="004E72FC">
        <w:rPr>
          <w:rFonts w:eastAsia="SimSun"/>
          <w:lang w:bidi="hi-IN"/>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EB4B0B" w:rsidRPr="003E6130" w:rsidRDefault="00EB4B0B" w:rsidP="00EB4B0B">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052"/>
        <w:gridCol w:w="1574"/>
        <w:gridCol w:w="2129"/>
        <w:gridCol w:w="3714"/>
        <w:gridCol w:w="3259"/>
        <w:gridCol w:w="1496"/>
      </w:tblGrid>
      <w:tr w:rsidR="00EB4B0B" w:rsidRPr="003E6130" w:rsidTr="00EB4B0B">
        <w:tc>
          <w:tcPr>
            <w:tcW w:w="3392" w:type="pct"/>
            <w:gridSpan w:val="5"/>
            <w:tcBorders>
              <w:top w:val="single" w:sz="4" w:space="0" w:color="000000"/>
            </w:tcBorders>
            <w:shd w:val="clear" w:color="auto" w:fill="auto"/>
            <w:vAlign w:val="center"/>
          </w:tcPr>
          <w:p w:rsidR="00EB4B0B" w:rsidRPr="003E6130" w:rsidRDefault="00EB4B0B" w:rsidP="00C57148">
            <w:pPr>
              <w:jc w:val="right"/>
            </w:pPr>
          </w:p>
        </w:tc>
        <w:tc>
          <w:tcPr>
            <w:tcW w:w="1102" w:type="pct"/>
            <w:tcBorders>
              <w:top w:val="single" w:sz="4" w:space="0" w:color="000000"/>
            </w:tcBorders>
            <w:shd w:val="clear" w:color="auto" w:fill="auto"/>
            <w:vAlign w:val="center"/>
          </w:tcPr>
          <w:p w:rsidR="00EB4B0B" w:rsidRPr="003E6130" w:rsidRDefault="00EB4B0B" w:rsidP="00C57148">
            <w:pPr>
              <w:jc w:val="right"/>
            </w:pPr>
          </w:p>
        </w:tc>
        <w:tc>
          <w:tcPr>
            <w:tcW w:w="506" w:type="pct"/>
            <w:tcBorders>
              <w:top w:val="single" w:sz="4" w:space="0" w:color="000000"/>
            </w:tcBorders>
          </w:tcPr>
          <w:p w:rsidR="00EB4B0B" w:rsidRPr="003E6130" w:rsidRDefault="00EB4B0B" w:rsidP="00C57148">
            <w:pPr>
              <w:jc w:val="right"/>
            </w:pPr>
          </w:p>
        </w:tc>
      </w:tr>
      <w:tr w:rsidR="00EB4B0B" w:rsidRPr="003E6130" w:rsidTr="00EB4B0B">
        <w:tc>
          <w:tcPr>
            <w:tcW w:w="190" w:type="pct"/>
            <w:tcBorders>
              <w:top w:val="single" w:sz="4" w:space="0" w:color="000000"/>
            </w:tcBorders>
            <w:shd w:val="clear" w:color="auto" w:fill="auto"/>
            <w:vAlign w:val="center"/>
          </w:tcPr>
          <w:p w:rsidR="00EB4B0B" w:rsidRPr="003E6130" w:rsidRDefault="00EB4B0B" w:rsidP="00EB4B0B">
            <w:pPr>
              <w:jc w:val="center"/>
            </w:pPr>
            <w:r w:rsidRPr="003E6130">
              <w:t>№</w:t>
            </w:r>
          </w:p>
          <w:p w:rsidR="00EB4B0B" w:rsidRPr="003E6130" w:rsidRDefault="00EB4B0B" w:rsidP="00EB4B0B">
            <w:pPr>
              <w:jc w:val="center"/>
            </w:pPr>
            <w:r w:rsidRPr="003E6130">
              <w:t>п/п</w:t>
            </w:r>
          </w:p>
        </w:tc>
        <w:tc>
          <w:tcPr>
            <w:tcW w:w="694" w:type="pct"/>
            <w:tcBorders>
              <w:top w:val="single" w:sz="4" w:space="0" w:color="000000"/>
            </w:tcBorders>
            <w:shd w:val="clear" w:color="auto" w:fill="auto"/>
            <w:vAlign w:val="center"/>
          </w:tcPr>
          <w:p w:rsidR="00EB4B0B" w:rsidRPr="003E6130" w:rsidRDefault="00EB4B0B" w:rsidP="00EB4B0B">
            <w:pPr>
              <w:jc w:val="center"/>
            </w:pPr>
            <w:r w:rsidRPr="003E6130">
              <w:t>Наименование по КТРУ/Код позиции каталога</w:t>
            </w:r>
          </w:p>
        </w:tc>
        <w:tc>
          <w:tcPr>
            <w:tcW w:w="532" w:type="pct"/>
            <w:tcBorders>
              <w:top w:val="single" w:sz="4" w:space="0" w:color="000000"/>
            </w:tcBorders>
            <w:shd w:val="clear" w:color="auto" w:fill="auto"/>
            <w:vAlign w:val="center"/>
          </w:tcPr>
          <w:p w:rsidR="00EB4B0B" w:rsidRPr="003E6130" w:rsidRDefault="00EB4B0B" w:rsidP="00EB4B0B">
            <w:pPr>
              <w:jc w:val="center"/>
            </w:pPr>
            <w:r w:rsidRPr="003E6130">
              <w:t>Описание в соответствии с КТРУ</w:t>
            </w:r>
          </w:p>
        </w:tc>
        <w:tc>
          <w:tcPr>
            <w:tcW w:w="720" w:type="pct"/>
            <w:tcBorders>
              <w:top w:val="single" w:sz="4" w:space="0" w:color="000000"/>
            </w:tcBorders>
            <w:shd w:val="clear" w:color="auto" w:fill="auto"/>
            <w:vAlign w:val="center"/>
          </w:tcPr>
          <w:p w:rsidR="00EB4B0B" w:rsidRPr="003E6130" w:rsidRDefault="00EB4B0B" w:rsidP="00EB4B0B">
            <w:pPr>
              <w:jc w:val="center"/>
            </w:pPr>
            <w:bookmarkStart w:id="0" w:name="_GoBack"/>
            <w:bookmarkEnd w:id="0"/>
            <w:r w:rsidRPr="003E6130">
              <w:t>ОКПД2 / НКМИ</w:t>
            </w:r>
          </w:p>
        </w:tc>
        <w:tc>
          <w:tcPr>
            <w:tcW w:w="1256" w:type="pct"/>
            <w:tcBorders>
              <w:top w:val="single" w:sz="4" w:space="0" w:color="000000"/>
            </w:tcBorders>
            <w:shd w:val="clear" w:color="auto" w:fill="auto"/>
            <w:vAlign w:val="center"/>
          </w:tcPr>
          <w:p w:rsidR="00EB4B0B" w:rsidRPr="003E6130" w:rsidRDefault="00EB4B0B" w:rsidP="00EB4B0B">
            <w:pPr>
              <w:jc w:val="center"/>
            </w:pPr>
            <w:r w:rsidRPr="003E6130">
              <w:t>Номер вида и наименование технического средства реабилитации (изделий)</w:t>
            </w:r>
            <w:r w:rsidRPr="003E6130">
              <w:rPr>
                <w:vertAlign w:val="superscript"/>
              </w:rPr>
              <w:t>1</w:t>
            </w:r>
            <w:r w:rsidRPr="003E6130">
              <w:t xml:space="preserve">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p w:rsidR="00EB4B0B" w:rsidRPr="003E6130" w:rsidRDefault="00EB4B0B" w:rsidP="00EB4B0B">
            <w:pPr>
              <w:jc w:val="center"/>
            </w:pPr>
          </w:p>
        </w:tc>
        <w:tc>
          <w:tcPr>
            <w:tcW w:w="1102" w:type="pct"/>
            <w:tcBorders>
              <w:top w:val="single" w:sz="4" w:space="0" w:color="000000"/>
            </w:tcBorders>
            <w:shd w:val="clear" w:color="auto" w:fill="auto"/>
            <w:vAlign w:val="center"/>
          </w:tcPr>
          <w:p w:rsidR="00EB4B0B" w:rsidRPr="003E6130" w:rsidRDefault="00EB4B0B" w:rsidP="00EB4B0B">
            <w:pPr>
              <w:jc w:val="center"/>
            </w:pPr>
            <w:r w:rsidRPr="003E6130">
              <w:t>Технические и функциональные характеристики Товара</w:t>
            </w:r>
          </w:p>
        </w:tc>
        <w:tc>
          <w:tcPr>
            <w:tcW w:w="506" w:type="pct"/>
            <w:tcBorders>
              <w:top w:val="single" w:sz="4" w:space="0" w:color="000000"/>
            </w:tcBorders>
            <w:vAlign w:val="center"/>
          </w:tcPr>
          <w:p w:rsidR="00EB4B0B" w:rsidRPr="003E6130" w:rsidRDefault="00EB4B0B" w:rsidP="00EB4B0B">
            <w:pPr>
              <w:jc w:val="center"/>
            </w:pPr>
            <w:r>
              <w:t>Количество</w:t>
            </w:r>
          </w:p>
        </w:tc>
      </w:tr>
      <w:tr w:rsidR="00EB4B0B" w:rsidRPr="003E6130" w:rsidTr="00EB4B0B">
        <w:tc>
          <w:tcPr>
            <w:tcW w:w="190" w:type="pct"/>
            <w:shd w:val="clear" w:color="auto" w:fill="F2F2F2"/>
          </w:tcPr>
          <w:p w:rsidR="00EB4B0B" w:rsidRPr="003E6130" w:rsidRDefault="00EB4B0B" w:rsidP="00C57148">
            <w:pPr>
              <w:jc w:val="center"/>
              <w:rPr>
                <w:b/>
              </w:rPr>
            </w:pPr>
            <w:r w:rsidRPr="003E6130">
              <w:rPr>
                <w:b/>
              </w:rPr>
              <w:t>1</w:t>
            </w:r>
          </w:p>
        </w:tc>
        <w:tc>
          <w:tcPr>
            <w:tcW w:w="694" w:type="pct"/>
            <w:shd w:val="clear" w:color="auto" w:fill="F2F2F2"/>
          </w:tcPr>
          <w:p w:rsidR="00EB4B0B" w:rsidRPr="003E6130" w:rsidRDefault="00EB4B0B" w:rsidP="00C57148">
            <w:pPr>
              <w:jc w:val="center"/>
              <w:rPr>
                <w:b/>
              </w:rPr>
            </w:pPr>
            <w:r w:rsidRPr="003E6130">
              <w:rPr>
                <w:b/>
              </w:rPr>
              <w:t>2</w:t>
            </w:r>
          </w:p>
        </w:tc>
        <w:tc>
          <w:tcPr>
            <w:tcW w:w="532" w:type="pct"/>
            <w:shd w:val="clear" w:color="auto" w:fill="F2F2F2"/>
          </w:tcPr>
          <w:p w:rsidR="00EB4B0B" w:rsidRPr="003E6130" w:rsidRDefault="00EB4B0B" w:rsidP="00C57148">
            <w:pPr>
              <w:jc w:val="center"/>
              <w:rPr>
                <w:b/>
              </w:rPr>
            </w:pPr>
            <w:r w:rsidRPr="003E6130">
              <w:rPr>
                <w:b/>
              </w:rPr>
              <w:t>3</w:t>
            </w:r>
          </w:p>
        </w:tc>
        <w:tc>
          <w:tcPr>
            <w:tcW w:w="720" w:type="pct"/>
            <w:shd w:val="clear" w:color="auto" w:fill="F2F2F2"/>
          </w:tcPr>
          <w:p w:rsidR="00EB4B0B" w:rsidRPr="003E6130" w:rsidRDefault="00EB4B0B" w:rsidP="00C57148">
            <w:pPr>
              <w:jc w:val="center"/>
              <w:rPr>
                <w:b/>
              </w:rPr>
            </w:pPr>
            <w:r w:rsidRPr="003E6130">
              <w:rPr>
                <w:b/>
              </w:rPr>
              <w:t>4</w:t>
            </w:r>
          </w:p>
        </w:tc>
        <w:tc>
          <w:tcPr>
            <w:tcW w:w="1256" w:type="pct"/>
            <w:shd w:val="clear" w:color="auto" w:fill="F2F2F2"/>
          </w:tcPr>
          <w:p w:rsidR="00EB4B0B" w:rsidRPr="003E6130" w:rsidRDefault="00EB4B0B" w:rsidP="00C57148">
            <w:pPr>
              <w:jc w:val="center"/>
              <w:rPr>
                <w:b/>
              </w:rPr>
            </w:pPr>
            <w:r w:rsidRPr="003E6130">
              <w:rPr>
                <w:b/>
              </w:rPr>
              <w:t>5</w:t>
            </w:r>
          </w:p>
        </w:tc>
        <w:tc>
          <w:tcPr>
            <w:tcW w:w="1102" w:type="pct"/>
            <w:shd w:val="clear" w:color="auto" w:fill="F2F2F2"/>
          </w:tcPr>
          <w:p w:rsidR="00EB4B0B" w:rsidRPr="003E6130" w:rsidRDefault="00EB4B0B" w:rsidP="00C57148">
            <w:pPr>
              <w:jc w:val="center"/>
              <w:rPr>
                <w:b/>
              </w:rPr>
            </w:pPr>
            <w:r w:rsidRPr="003E6130">
              <w:rPr>
                <w:b/>
              </w:rPr>
              <w:t>6</w:t>
            </w:r>
          </w:p>
        </w:tc>
        <w:tc>
          <w:tcPr>
            <w:tcW w:w="506" w:type="pct"/>
            <w:shd w:val="clear" w:color="auto" w:fill="F2F2F2"/>
          </w:tcPr>
          <w:p w:rsidR="00EB4B0B" w:rsidRPr="003E6130" w:rsidRDefault="00EB4B0B" w:rsidP="00C57148">
            <w:pPr>
              <w:jc w:val="center"/>
              <w:rPr>
                <w:b/>
              </w:rPr>
            </w:pPr>
            <w:r>
              <w:rPr>
                <w:b/>
              </w:rPr>
              <w:t>7</w:t>
            </w:r>
          </w:p>
        </w:tc>
      </w:tr>
      <w:tr w:rsidR="00EB4B0B" w:rsidRPr="003E6130" w:rsidTr="00EB4B0B">
        <w:tc>
          <w:tcPr>
            <w:tcW w:w="190" w:type="pct"/>
          </w:tcPr>
          <w:p w:rsidR="00EB4B0B" w:rsidRPr="003E6130" w:rsidRDefault="00EB4B0B" w:rsidP="00EB4B0B">
            <w:pPr>
              <w:jc w:val="center"/>
              <w:rPr>
                <w:b/>
              </w:rPr>
            </w:pPr>
            <w:r w:rsidRPr="003E6130">
              <w:rPr>
                <w:b/>
              </w:rPr>
              <w:t>1</w:t>
            </w:r>
          </w:p>
        </w:tc>
        <w:tc>
          <w:tcPr>
            <w:tcW w:w="694" w:type="pct"/>
          </w:tcPr>
          <w:p w:rsidR="00EB4B0B" w:rsidRPr="003E6130" w:rsidRDefault="00EB4B0B" w:rsidP="00C57148">
            <w:pPr>
              <w:jc w:val="both"/>
            </w:pPr>
            <w:r w:rsidRPr="003E6130">
              <w:t xml:space="preserve">Набор для однократной катетеризации уретры для самостоятельного применения, одноразового использования </w:t>
            </w:r>
            <w:r w:rsidRPr="003E6130">
              <w:lastRenderedPageBreak/>
              <w:t>КТРУ 32.50.13.110-00003237</w:t>
            </w:r>
          </w:p>
        </w:tc>
        <w:tc>
          <w:tcPr>
            <w:tcW w:w="532" w:type="pct"/>
          </w:tcPr>
          <w:p w:rsidR="00EB4B0B" w:rsidRPr="003E6130" w:rsidRDefault="00EB4B0B" w:rsidP="00C57148">
            <w:pPr>
              <w:jc w:val="both"/>
            </w:pPr>
            <w:r w:rsidRPr="003E6130">
              <w:lastRenderedPageBreak/>
              <w:t>Сведения отсутствуют</w:t>
            </w:r>
          </w:p>
        </w:tc>
        <w:tc>
          <w:tcPr>
            <w:tcW w:w="720" w:type="pct"/>
          </w:tcPr>
          <w:p w:rsidR="00EB4B0B" w:rsidRPr="003E6130" w:rsidRDefault="00EB4B0B" w:rsidP="00C57148">
            <w:pPr>
              <w:jc w:val="center"/>
            </w:pPr>
            <w:r w:rsidRPr="003E6130">
              <w:t>ОКПД2 32.50.13.190/</w:t>
            </w:r>
          </w:p>
          <w:p w:rsidR="00EB4B0B" w:rsidRPr="003E6130" w:rsidRDefault="00EB4B0B" w:rsidP="00C57148">
            <w:pPr>
              <w:jc w:val="center"/>
            </w:pPr>
            <w:r w:rsidRPr="003E6130">
              <w:t>НКМИ 209980</w:t>
            </w:r>
          </w:p>
        </w:tc>
        <w:tc>
          <w:tcPr>
            <w:tcW w:w="1256" w:type="pct"/>
          </w:tcPr>
          <w:p w:rsidR="00EB4B0B" w:rsidRPr="003E6130" w:rsidRDefault="00EB4B0B" w:rsidP="00C57148">
            <w:pPr>
              <w:jc w:val="center"/>
            </w:pPr>
            <w:r w:rsidRPr="003E6130">
              <w:t>21-01-21 Наборы-мочеприемники для самокатетеризации: мешок-мочеприемник, катетер лубрицированный для самокатетеризации</w:t>
            </w:r>
          </w:p>
        </w:tc>
        <w:tc>
          <w:tcPr>
            <w:tcW w:w="1102" w:type="pct"/>
          </w:tcPr>
          <w:p w:rsidR="00EB4B0B" w:rsidRPr="003E6130" w:rsidRDefault="00EB4B0B" w:rsidP="00C57148">
            <w:pPr>
              <w:jc w:val="both"/>
            </w:pPr>
            <w:r w:rsidRPr="003E6130">
              <w:t xml:space="preserve">Набор для самокатетеризации для периодической самокатетеризации. Набор состоит из лубрицированного катетера и соединенного с ним мочеприемника (мешка). </w:t>
            </w:r>
            <w:r w:rsidRPr="003E6130">
              <w:lastRenderedPageBreak/>
              <w:t>Специальная упаковка набора позволяет проводить катетеризацию не касаясь катетера руками. Мочеприемник объемом не менее 700 мл и не более 1000 мл с нанесенной градуировкой. Катетеры типа Нелатон. Размер по Шарьеру: от 08 ch (включительно) до 16 ch (включительно) (в зависимости от антропометрических данных пациента). Длина катетера не менее 40 см (включительно). Наборы одноразовые, стерильные и находятся в индивидуальной упаковке.</w:t>
            </w:r>
          </w:p>
        </w:tc>
        <w:tc>
          <w:tcPr>
            <w:tcW w:w="506" w:type="pct"/>
          </w:tcPr>
          <w:p w:rsidR="00EB4B0B" w:rsidRPr="003E6130" w:rsidRDefault="00EB4B0B" w:rsidP="00C57148">
            <w:pPr>
              <w:jc w:val="center"/>
            </w:pPr>
            <w:r w:rsidRPr="003E6130">
              <w:lastRenderedPageBreak/>
              <w:t>20 000</w:t>
            </w:r>
          </w:p>
        </w:tc>
      </w:tr>
    </w:tbl>
    <w:p w:rsidR="00EB4B0B" w:rsidRPr="003E6130" w:rsidRDefault="00EB4B0B" w:rsidP="00EB4B0B">
      <w:pPr>
        <w:ind w:firstLine="709"/>
        <w:jc w:val="both"/>
      </w:pPr>
    </w:p>
    <w:p w:rsidR="00EB4B0B" w:rsidRPr="003E6130" w:rsidRDefault="00EB4B0B" w:rsidP="00EB4B0B">
      <w:pPr>
        <w:ind w:firstLine="709"/>
        <w:jc w:val="both"/>
      </w:pPr>
    </w:p>
    <w:p w:rsidR="00EB4B0B" w:rsidRPr="003E6130" w:rsidRDefault="00EB4B0B" w:rsidP="00EB4B0B">
      <w:pPr>
        <w:ind w:firstLine="709"/>
        <w:jc w:val="both"/>
      </w:pPr>
      <w:r w:rsidRPr="003E6130">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EB4B0B" w:rsidRPr="003E6130" w:rsidRDefault="00EB4B0B" w:rsidP="00EB4B0B">
      <w:pPr>
        <w:ind w:firstLine="709"/>
        <w:jc w:val="both"/>
      </w:pPr>
      <w:r w:rsidRPr="003E6130">
        <w:t>Поставка Товара осуществляется в соответствии с выбором Получателей:</w:t>
      </w:r>
    </w:p>
    <w:p w:rsidR="00EB4B0B" w:rsidRPr="003E6130" w:rsidRDefault="00EB4B0B" w:rsidP="00EB4B0B">
      <w:pPr>
        <w:ind w:firstLine="709"/>
        <w:jc w:val="both"/>
      </w:pPr>
      <w:r w:rsidRPr="003E6130">
        <w:t xml:space="preserve">1. По месту нахождения пунктов выдачи, организованных Поставщиком, в день обращения Получателя, но </w:t>
      </w:r>
      <w:r w:rsidRPr="003E6130">
        <w:rPr>
          <w:b/>
        </w:rPr>
        <w:t>до 30.03.2023 года</w:t>
      </w:r>
      <w:r w:rsidRPr="003E6130">
        <w:t>: Пункты выдачи должны быть организованы Поставщиком в г. Сургут. Дополнительные пункты выдачи, по согласованию с Заказчиком, могут быть организованы в иных городах и населенных пунктах Ханты-Мансийского автономного округа по выбору Поставщика.</w:t>
      </w:r>
    </w:p>
    <w:p w:rsidR="00EB4B0B" w:rsidRPr="003E6130" w:rsidRDefault="00EB4B0B" w:rsidP="00EB4B0B">
      <w:pPr>
        <w:tabs>
          <w:tab w:val="left" w:pos="1200"/>
        </w:tabs>
        <w:ind w:firstLine="702"/>
        <w:jc w:val="both"/>
      </w:pPr>
      <w:r w:rsidRPr="003E6130">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B4B0B" w:rsidRPr="003E6130" w:rsidRDefault="00EB4B0B" w:rsidP="00EB4B0B">
      <w:pPr>
        <w:tabs>
          <w:tab w:val="left" w:pos="1200"/>
        </w:tabs>
        <w:ind w:firstLine="702"/>
        <w:jc w:val="both"/>
      </w:pPr>
      <w:r w:rsidRPr="003E6130">
        <w:t xml:space="preserve">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w:t>
      </w:r>
      <w:r w:rsidRPr="003E6130">
        <w:lastRenderedPageBreak/>
        <w:t>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EB4B0B" w:rsidRPr="003E6130" w:rsidRDefault="00EB4B0B" w:rsidP="00EB4B0B">
      <w:pPr>
        <w:jc w:val="both"/>
      </w:pPr>
      <w:r w:rsidRPr="003E6130">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Pr="003E6130">
        <w:rPr>
          <w:b/>
        </w:rPr>
        <w:t>до 30.03.2023 года:</w:t>
      </w:r>
      <w:r w:rsidRPr="003E6130">
        <w:t xml:space="preserve"> на всей территории Ханты-Мансийского автономного округа.</w:t>
      </w:r>
    </w:p>
    <w:p w:rsidR="00EB4B0B" w:rsidRPr="003E6130" w:rsidRDefault="00EB4B0B" w:rsidP="00EB4B0B">
      <w:pPr>
        <w:keepNext/>
        <w:keepLines/>
        <w:autoSpaceDE w:val="0"/>
        <w:ind w:firstLine="720"/>
        <w:jc w:val="both"/>
      </w:pPr>
      <w:r w:rsidRPr="003E6130">
        <w:t>Для целей настоящей закупки используется терминология, определенная Приказом Минтруда России от 13.02.2018 г.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EB4B0B" w:rsidRPr="003E6130" w:rsidRDefault="00EB4B0B" w:rsidP="00EB4B0B">
      <w:pPr>
        <w:keepNext/>
        <w:keepLines/>
        <w:autoSpaceDE w:val="0"/>
        <w:ind w:firstLine="720"/>
        <w:jc w:val="both"/>
      </w:pPr>
      <w:r w:rsidRPr="003E6130">
        <w:t>Параметры изделий, используемые в техническом задании предназначены для эффективной компенсации утраченных функций и полноценной социальной адаптации инвалидов в обществе.</w:t>
      </w:r>
    </w:p>
    <w:p w:rsidR="00864824" w:rsidRDefault="00864824" w:rsidP="009A4C9B">
      <w:pPr>
        <w:spacing w:after="160" w:line="259" w:lineRule="auto"/>
        <w:jc w:val="both"/>
      </w:pPr>
    </w:p>
    <w:p w:rsidR="00864824" w:rsidRDefault="00864824" w:rsidP="009A4C9B">
      <w:pPr>
        <w:spacing w:after="160" w:line="259" w:lineRule="auto"/>
        <w:jc w:val="both"/>
      </w:pPr>
    </w:p>
    <w:p w:rsidR="004566F9" w:rsidRDefault="004566F9" w:rsidP="00144EEC">
      <w:pPr>
        <w:pStyle w:val="ConsPlusNormal"/>
        <w:keepNext/>
        <w:keepLines/>
        <w:jc w:val="both"/>
        <w:rPr>
          <w:rFonts w:ascii="Times New Roman" w:hAnsi="Times New Roman" w:cs="Times New Roman"/>
        </w:rPr>
      </w:pPr>
    </w:p>
    <w:sectPr w:rsidR="004566F9" w:rsidSect="006F0DAD">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6C9" w:rsidRDefault="008466C9" w:rsidP="00D7115C">
      <w:r>
        <w:separator/>
      </w:r>
    </w:p>
  </w:endnote>
  <w:endnote w:type="continuationSeparator" w:id="0">
    <w:p w:rsidR="008466C9" w:rsidRDefault="008466C9"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6C9" w:rsidRDefault="008466C9" w:rsidP="00D7115C">
      <w:r>
        <w:separator/>
      </w:r>
    </w:p>
  </w:footnote>
  <w:footnote w:type="continuationSeparator" w:id="0">
    <w:p w:rsidR="008466C9" w:rsidRDefault="008466C9" w:rsidP="00D71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521628F"/>
    <w:multiLevelType w:val="multilevel"/>
    <w:tmpl w:val="B11C1E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7"/>
  </w:num>
  <w:num w:numId="6">
    <w:abstractNumId w:val="26"/>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8"/>
  </w:num>
  <w:num w:numId="14">
    <w:abstractNumId w:val="29"/>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5"/>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D4"/>
    <w:rsid w:val="00030B55"/>
    <w:rsid w:val="0003657F"/>
    <w:rsid w:val="000A357E"/>
    <w:rsid w:val="000A37D4"/>
    <w:rsid w:val="000D3DE0"/>
    <w:rsid w:val="00126DEB"/>
    <w:rsid w:val="001370D2"/>
    <w:rsid w:val="00137CB5"/>
    <w:rsid w:val="00144EEC"/>
    <w:rsid w:val="001738F9"/>
    <w:rsid w:val="001A1B23"/>
    <w:rsid w:val="001B6A14"/>
    <w:rsid w:val="001E58E9"/>
    <w:rsid w:val="001E621C"/>
    <w:rsid w:val="00217727"/>
    <w:rsid w:val="00235DA7"/>
    <w:rsid w:val="00240B28"/>
    <w:rsid w:val="002831DA"/>
    <w:rsid w:val="002B471D"/>
    <w:rsid w:val="002C1B5B"/>
    <w:rsid w:val="00304966"/>
    <w:rsid w:val="00310864"/>
    <w:rsid w:val="00316C52"/>
    <w:rsid w:val="003210F2"/>
    <w:rsid w:val="00336B54"/>
    <w:rsid w:val="00386012"/>
    <w:rsid w:val="003B2511"/>
    <w:rsid w:val="003D486E"/>
    <w:rsid w:val="004234B4"/>
    <w:rsid w:val="00423BFC"/>
    <w:rsid w:val="00427C62"/>
    <w:rsid w:val="00450CFE"/>
    <w:rsid w:val="004528B9"/>
    <w:rsid w:val="004566F9"/>
    <w:rsid w:val="00457089"/>
    <w:rsid w:val="0046492C"/>
    <w:rsid w:val="004667AA"/>
    <w:rsid w:val="00466F6A"/>
    <w:rsid w:val="00467E3B"/>
    <w:rsid w:val="00490486"/>
    <w:rsid w:val="004D26DF"/>
    <w:rsid w:val="004D497F"/>
    <w:rsid w:val="004F2140"/>
    <w:rsid w:val="00523837"/>
    <w:rsid w:val="0057542D"/>
    <w:rsid w:val="00585EDA"/>
    <w:rsid w:val="00592CAF"/>
    <w:rsid w:val="005935A0"/>
    <w:rsid w:val="005D4418"/>
    <w:rsid w:val="005E0778"/>
    <w:rsid w:val="005F6042"/>
    <w:rsid w:val="006132F7"/>
    <w:rsid w:val="00632245"/>
    <w:rsid w:val="00655312"/>
    <w:rsid w:val="006E787B"/>
    <w:rsid w:val="006F0DAD"/>
    <w:rsid w:val="006F61BD"/>
    <w:rsid w:val="00706EF7"/>
    <w:rsid w:val="007214BD"/>
    <w:rsid w:val="007A5900"/>
    <w:rsid w:val="007C105E"/>
    <w:rsid w:val="007F2A0B"/>
    <w:rsid w:val="0082620C"/>
    <w:rsid w:val="0084505E"/>
    <w:rsid w:val="008466C9"/>
    <w:rsid w:val="008475AC"/>
    <w:rsid w:val="00852E8C"/>
    <w:rsid w:val="00864824"/>
    <w:rsid w:val="00890985"/>
    <w:rsid w:val="008A00DE"/>
    <w:rsid w:val="008A35F0"/>
    <w:rsid w:val="008A7C1F"/>
    <w:rsid w:val="008F2AD3"/>
    <w:rsid w:val="009226AD"/>
    <w:rsid w:val="009A4C9B"/>
    <w:rsid w:val="009B3E5B"/>
    <w:rsid w:val="009B48C4"/>
    <w:rsid w:val="009B63B2"/>
    <w:rsid w:val="00A33FAD"/>
    <w:rsid w:val="00A520C7"/>
    <w:rsid w:val="00A94ADA"/>
    <w:rsid w:val="00AC04AF"/>
    <w:rsid w:val="00AF1D6E"/>
    <w:rsid w:val="00B14F09"/>
    <w:rsid w:val="00B201AE"/>
    <w:rsid w:val="00B45B9E"/>
    <w:rsid w:val="00B82A3E"/>
    <w:rsid w:val="00BA2658"/>
    <w:rsid w:val="00BB7977"/>
    <w:rsid w:val="00BC42EC"/>
    <w:rsid w:val="00BD6C75"/>
    <w:rsid w:val="00C0005A"/>
    <w:rsid w:val="00C1613C"/>
    <w:rsid w:val="00C34D1D"/>
    <w:rsid w:val="00C508C6"/>
    <w:rsid w:val="00C87CBF"/>
    <w:rsid w:val="00CA2207"/>
    <w:rsid w:val="00CA3011"/>
    <w:rsid w:val="00CB0C96"/>
    <w:rsid w:val="00CB473D"/>
    <w:rsid w:val="00CB6216"/>
    <w:rsid w:val="00CE746F"/>
    <w:rsid w:val="00CE7DFC"/>
    <w:rsid w:val="00CF08BB"/>
    <w:rsid w:val="00CF42D3"/>
    <w:rsid w:val="00D01082"/>
    <w:rsid w:val="00D23661"/>
    <w:rsid w:val="00D7115C"/>
    <w:rsid w:val="00D8164D"/>
    <w:rsid w:val="00D84C03"/>
    <w:rsid w:val="00D865A8"/>
    <w:rsid w:val="00DC4D5C"/>
    <w:rsid w:val="00E04E09"/>
    <w:rsid w:val="00E21973"/>
    <w:rsid w:val="00E3009F"/>
    <w:rsid w:val="00E35808"/>
    <w:rsid w:val="00E95858"/>
    <w:rsid w:val="00EB4B0B"/>
    <w:rsid w:val="00ED0360"/>
    <w:rsid w:val="00ED2E67"/>
    <w:rsid w:val="00ED4626"/>
    <w:rsid w:val="00EE544A"/>
    <w:rsid w:val="00EF45D9"/>
    <w:rsid w:val="00F15338"/>
    <w:rsid w:val="00F226A3"/>
    <w:rsid w:val="00F23211"/>
    <w:rsid w:val="00F34F37"/>
    <w:rsid w:val="00F7376C"/>
    <w:rsid w:val="00F77189"/>
    <w:rsid w:val="00F77D25"/>
    <w:rsid w:val="00F91CB2"/>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9442C-E3EC-4F5C-9B9A-5E566E3D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paragraph" w:styleId="2">
    <w:name w:val="heading 2"/>
    <w:basedOn w:val="a"/>
    <w:next w:val="a"/>
    <w:link w:val="20"/>
    <w:uiPriority w:val="9"/>
    <w:semiHidden/>
    <w:unhideWhenUsed/>
    <w:qFormat/>
    <w:rsid w:val="00B82A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2">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3">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4">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5">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6">
    <w:name w:val="Body Text 2"/>
    <w:basedOn w:val="a"/>
    <w:link w:val="27"/>
    <w:uiPriority w:val="99"/>
    <w:unhideWhenUsed/>
    <w:rsid w:val="00427C62"/>
    <w:pPr>
      <w:spacing w:after="120" w:line="480" w:lineRule="auto"/>
    </w:pPr>
  </w:style>
  <w:style w:type="character" w:customStyle="1" w:styleId="27">
    <w:name w:val="Основной текст 2 Знак"/>
    <w:basedOn w:val="a0"/>
    <w:link w:val="26"/>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8">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 w:type="character" w:customStyle="1" w:styleId="20">
    <w:name w:val="Заголовок 2 Знак"/>
    <w:basedOn w:val="a0"/>
    <w:link w:val="2"/>
    <w:uiPriority w:val="9"/>
    <w:semiHidden/>
    <w:rsid w:val="00B82A3E"/>
    <w:rPr>
      <w:rFonts w:asciiTheme="majorHAnsi" w:eastAsiaTheme="majorEastAsia" w:hAnsiTheme="majorHAnsi" w:cstheme="majorBidi"/>
      <w:color w:val="2E74B5" w:themeColor="accent1" w:themeShade="BF"/>
      <w:sz w:val="26"/>
      <w:szCs w:val="26"/>
      <w:lang w:eastAsia="ru-RU"/>
    </w:rPr>
  </w:style>
  <w:style w:type="paragraph" w:styleId="aff4">
    <w:name w:val="Normal (Web)"/>
    <w:basedOn w:val="a"/>
    <w:uiPriority w:val="99"/>
    <w:rsid w:val="00B82A3E"/>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9472">
      <w:bodyDiv w:val="1"/>
      <w:marLeft w:val="0"/>
      <w:marRight w:val="0"/>
      <w:marTop w:val="0"/>
      <w:marBottom w:val="0"/>
      <w:divBdr>
        <w:top w:val="none" w:sz="0" w:space="0" w:color="auto"/>
        <w:left w:val="none" w:sz="0" w:space="0" w:color="auto"/>
        <w:bottom w:val="none" w:sz="0" w:space="0" w:color="auto"/>
        <w:right w:val="none" w:sz="0" w:space="0" w:color="auto"/>
      </w:divBdr>
    </w:div>
    <w:div w:id="1015378588">
      <w:bodyDiv w:val="1"/>
      <w:marLeft w:val="0"/>
      <w:marRight w:val="0"/>
      <w:marTop w:val="0"/>
      <w:marBottom w:val="0"/>
      <w:divBdr>
        <w:top w:val="none" w:sz="0" w:space="0" w:color="auto"/>
        <w:left w:val="none" w:sz="0" w:space="0" w:color="auto"/>
        <w:bottom w:val="none" w:sz="0" w:space="0" w:color="auto"/>
        <w:right w:val="none" w:sz="0" w:space="0" w:color="auto"/>
      </w:divBdr>
    </w:div>
    <w:div w:id="1191647333">
      <w:bodyDiv w:val="1"/>
      <w:marLeft w:val="0"/>
      <w:marRight w:val="0"/>
      <w:marTop w:val="0"/>
      <w:marBottom w:val="0"/>
      <w:divBdr>
        <w:top w:val="none" w:sz="0" w:space="0" w:color="auto"/>
        <w:left w:val="none" w:sz="0" w:space="0" w:color="auto"/>
        <w:bottom w:val="none" w:sz="0" w:space="0" w:color="auto"/>
        <w:right w:val="none" w:sz="0" w:space="0" w:color="auto"/>
      </w:divBdr>
    </w:div>
    <w:div w:id="1265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80</cp:revision>
  <dcterms:created xsi:type="dcterms:W3CDTF">2020-08-12T05:43:00Z</dcterms:created>
  <dcterms:modified xsi:type="dcterms:W3CDTF">2022-12-22T11:49:00Z</dcterms:modified>
</cp:coreProperties>
</file>