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61" w:rsidRDefault="005C45B5">
      <w:pPr>
        <w:spacing w:after="0"/>
        <w:jc w:val="right"/>
        <w:rPr>
          <w:rFonts w:ascii="Times New Roman" w:eastAsia="Calibri" w:hAnsi="Times New Roman" w:cs="Times New Roman"/>
          <w:sz w:val="24"/>
          <w:szCs w:val="20"/>
        </w:rPr>
      </w:pPr>
      <w:r>
        <w:rPr>
          <w:rFonts w:ascii="Times New Roman" w:eastAsia="Calibri" w:hAnsi="Times New Roman" w:cs="Times New Roman"/>
          <w:sz w:val="24"/>
          <w:szCs w:val="20"/>
        </w:rPr>
        <w:t>Приложение 1 к Извещению об осуществлении закупки</w:t>
      </w:r>
    </w:p>
    <w:p w:rsidR="005B6A61" w:rsidRDefault="005B6A61">
      <w:pPr>
        <w:spacing w:after="0"/>
        <w:jc w:val="right"/>
        <w:rPr>
          <w:rFonts w:ascii="Times New Roman" w:eastAsia="Calibri" w:hAnsi="Times New Roman" w:cs="Times New Roman"/>
          <w:sz w:val="20"/>
          <w:szCs w:val="20"/>
        </w:rPr>
      </w:pPr>
    </w:p>
    <w:p w:rsidR="00DD6220" w:rsidRPr="00BC4780" w:rsidRDefault="005C45B5" w:rsidP="00352B53">
      <w:pPr>
        <w:autoSpaceDE w:val="0"/>
        <w:autoSpaceDN w:val="0"/>
        <w:adjustRightInd w:val="0"/>
        <w:spacing w:after="0" w:line="240" w:lineRule="auto"/>
        <w:jc w:val="center"/>
        <w:rPr>
          <w:rFonts w:ascii="Times New Roman" w:hAnsi="Times New Roman" w:cs="Times New Roman"/>
          <w:b/>
          <w:sz w:val="24"/>
          <w:szCs w:val="24"/>
        </w:rPr>
      </w:pPr>
      <w:r w:rsidRPr="00BC4780">
        <w:rPr>
          <w:rFonts w:ascii="Times New Roman" w:hAnsi="Times New Roman" w:cs="Times New Roman"/>
          <w:b/>
          <w:sz w:val="24"/>
          <w:szCs w:val="24"/>
        </w:rPr>
        <w:t>Описание объекта закупки (техническое задание)</w:t>
      </w:r>
    </w:p>
    <w:p w:rsidR="005B6A61" w:rsidRPr="00BC4780" w:rsidRDefault="00352B53">
      <w:pPr>
        <w:autoSpaceDE w:val="0"/>
        <w:adjustRightInd w:val="0"/>
        <w:spacing w:after="0"/>
        <w:jc w:val="center"/>
        <w:rPr>
          <w:rFonts w:ascii="Times New Roman" w:eastAsia="Calibri" w:hAnsi="Times New Roman" w:cs="Times New Roman"/>
          <w:sz w:val="24"/>
          <w:szCs w:val="24"/>
        </w:rPr>
      </w:pPr>
      <w:r w:rsidRPr="00BC4780">
        <w:rPr>
          <w:rFonts w:ascii="Times New Roman" w:eastAsia="Times New Roman" w:hAnsi="Times New Roman" w:cs="Times New Roman"/>
          <w:iCs/>
          <w:sz w:val="24"/>
          <w:szCs w:val="24"/>
          <w:lang w:eastAsia="ru-RU"/>
        </w:rPr>
        <w:t>на в</w:t>
      </w:r>
      <w:r w:rsidR="005C45B5" w:rsidRPr="00BC4780">
        <w:rPr>
          <w:rFonts w:ascii="Times New Roman" w:eastAsia="Times New Roman" w:hAnsi="Times New Roman" w:cs="Times New Roman"/>
          <w:iCs/>
          <w:sz w:val="24"/>
          <w:szCs w:val="24"/>
          <w:lang w:eastAsia="ru-RU"/>
        </w:rPr>
        <w:t xml:space="preserve">ыполнение </w:t>
      </w:r>
      <w:r w:rsidR="00F937F2" w:rsidRPr="00BC4780">
        <w:rPr>
          <w:rFonts w:ascii="Times New Roman" w:hAnsi="Times New Roman"/>
          <w:sz w:val="24"/>
          <w:szCs w:val="24"/>
        </w:rPr>
        <w:t>работ для обеспечения пострадавших от несчастных случаев на производстве и профессиональных заболеваний протезами голени</w:t>
      </w:r>
      <w:r w:rsidR="005C45B5" w:rsidRPr="00BC4780">
        <w:rPr>
          <w:rFonts w:ascii="Times New Roman" w:eastAsia="Calibri" w:hAnsi="Times New Roman" w:cs="Times New Roman"/>
          <w:sz w:val="24"/>
          <w:szCs w:val="24"/>
        </w:rPr>
        <w:t>.</w:t>
      </w:r>
    </w:p>
    <w:p w:rsidR="005B6A61" w:rsidRPr="00BC4780" w:rsidRDefault="005B6A61">
      <w:pPr>
        <w:pStyle w:val="3"/>
        <w:tabs>
          <w:tab w:val="left" w:pos="6600"/>
        </w:tabs>
        <w:spacing w:after="0" w:line="240" w:lineRule="auto"/>
        <w:jc w:val="center"/>
        <w:rPr>
          <w:bCs/>
          <w:sz w:val="18"/>
          <w:szCs w:val="18"/>
        </w:rPr>
      </w:pPr>
    </w:p>
    <w:tbl>
      <w:tblPr>
        <w:tblW w:w="1494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75"/>
        <w:gridCol w:w="3119"/>
        <w:gridCol w:w="9072"/>
        <w:gridCol w:w="850"/>
      </w:tblGrid>
      <w:tr w:rsidR="005B6A61" w:rsidTr="00904B12">
        <w:trPr>
          <w:trHeight w:val="400"/>
        </w:trPr>
        <w:tc>
          <w:tcPr>
            <w:tcW w:w="426" w:type="dxa"/>
            <w:tcMar>
              <w:top w:w="55" w:type="dxa"/>
              <w:left w:w="55" w:type="dxa"/>
              <w:bottom w:w="55" w:type="dxa"/>
              <w:right w:w="55" w:type="dxa"/>
            </w:tcMar>
            <w:vAlign w:val="center"/>
          </w:tcPr>
          <w:p w:rsidR="005B6A61" w:rsidRDefault="005C45B5">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 п/п</w:t>
            </w:r>
          </w:p>
        </w:tc>
        <w:tc>
          <w:tcPr>
            <w:tcW w:w="1475" w:type="dxa"/>
            <w:tcBorders>
              <w:right w:val="single" w:sz="4" w:space="0" w:color="auto"/>
            </w:tcBorders>
            <w:tcMar>
              <w:top w:w="55" w:type="dxa"/>
              <w:left w:w="55" w:type="dxa"/>
              <w:bottom w:w="55" w:type="dxa"/>
              <w:right w:w="55" w:type="dxa"/>
            </w:tcMar>
            <w:vAlign w:val="center"/>
          </w:tcPr>
          <w:p w:rsidR="005B6A61" w:rsidRDefault="005C45B5">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Наименование товара (работы, услуги)</w:t>
            </w:r>
          </w:p>
        </w:tc>
        <w:tc>
          <w:tcPr>
            <w:tcW w:w="12191" w:type="dxa"/>
            <w:gridSpan w:val="2"/>
            <w:tcBorders>
              <w:left w:val="single" w:sz="4" w:space="0" w:color="auto"/>
              <w:right w:val="single" w:sz="1" w:space="0" w:color="000000"/>
            </w:tcBorders>
            <w:vAlign w:val="center"/>
          </w:tcPr>
          <w:p w:rsidR="005B6A61" w:rsidRDefault="005C45B5">
            <w:pPr>
              <w:suppressLineNumbers/>
              <w:snapToGrid w:val="0"/>
              <w:spacing w:after="0" w:line="240" w:lineRule="auto"/>
              <w:jc w:val="center"/>
              <w:rPr>
                <w:rFonts w:ascii="Times New Roman" w:eastAsia="Andale Sans UI" w:hAnsi="Times New Roman" w:cs="Times New Roman"/>
                <w:sz w:val="20"/>
                <w:szCs w:val="20"/>
                <w:lang w:eastAsia="zh-CN"/>
              </w:rPr>
            </w:pPr>
            <w:r>
              <w:rPr>
                <w:rFonts w:ascii="Times New Roman" w:hAnsi="Times New Roman" w:cs="Times New Roman"/>
                <w:bCs/>
                <w:i/>
                <w:sz w:val="20"/>
                <w:szCs w:val="20"/>
              </w:rPr>
              <w:t>Функциональные, технические, качественные характеристики, эксплуатационные характеристики работы (в случае отсутствия соответствующих позиций в КТРУ)</w:t>
            </w:r>
          </w:p>
        </w:tc>
        <w:tc>
          <w:tcPr>
            <w:tcW w:w="850" w:type="dxa"/>
            <w:tcBorders>
              <w:top w:val="single" w:sz="1" w:space="0" w:color="000000"/>
              <w:left w:val="single" w:sz="1" w:space="0" w:color="000000"/>
            </w:tcBorders>
            <w:shd w:val="clear" w:color="auto" w:fill="auto"/>
            <w:tcMar>
              <w:top w:w="55" w:type="dxa"/>
              <w:left w:w="55" w:type="dxa"/>
              <w:bottom w:w="55" w:type="dxa"/>
              <w:right w:w="55" w:type="dxa"/>
            </w:tcMar>
            <w:vAlign w:val="center"/>
          </w:tcPr>
          <w:p w:rsidR="005B6A61" w:rsidRDefault="005C45B5">
            <w:pPr>
              <w:suppressLineNumbers/>
              <w:snapToGrid w:val="0"/>
              <w:spacing w:after="0" w:line="240" w:lineRule="auto"/>
              <w:jc w:val="center"/>
              <w:rPr>
                <w:rFonts w:ascii="Times New Roman" w:eastAsia="Andale Sans UI" w:hAnsi="Times New Roman" w:cs="Times New Roman"/>
                <w:sz w:val="20"/>
                <w:szCs w:val="20"/>
                <w:lang w:eastAsia="zh-CN"/>
              </w:rPr>
            </w:pPr>
            <w:r>
              <w:rPr>
                <w:rFonts w:ascii="Times New Roman" w:eastAsia="Andale Sans UI" w:hAnsi="Times New Roman" w:cs="Times New Roman"/>
                <w:sz w:val="20"/>
                <w:szCs w:val="20"/>
                <w:lang w:eastAsia="zh-CN"/>
              </w:rPr>
              <w:t>Кол-во, (шт.)</w:t>
            </w:r>
          </w:p>
        </w:tc>
      </w:tr>
      <w:tr w:rsidR="00FC5202" w:rsidTr="00BA446F">
        <w:trPr>
          <w:trHeight w:val="213"/>
        </w:trPr>
        <w:tc>
          <w:tcPr>
            <w:tcW w:w="426" w:type="dxa"/>
            <w:tcMar>
              <w:top w:w="55" w:type="dxa"/>
              <w:left w:w="55" w:type="dxa"/>
              <w:bottom w:w="55" w:type="dxa"/>
              <w:right w:w="55" w:type="dxa"/>
            </w:tcMar>
          </w:tcPr>
          <w:p w:rsidR="00FC5202" w:rsidRDefault="00FC5202">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1.</w:t>
            </w:r>
          </w:p>
        </w:tc>
        <w:tc>
          <w:tcPr>
            <w:tcW w:w="1475" w:type="dxa"/>
            <w:tcBorders>
              <w:right w:val="single" w:sz="4" w:space="0" w:color="auto"/>
            </w:tcBorders>
            <w:tcMar>
              <w:top w:w="55" w:type="dxa"/>
              <w:left w:w="55" w:type="dxa"/>
              <w:bottom w:w="55" w:type="dxa"/>
              <w:right w:w="55" w:type="dxa"/>
            </w:tcMar>
          </w:tcPr>
          <w:p w:rsidR="00FC5202" w:rsidRDefault="00FC5202">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kern w:val="3"/>
                <w:sz w:val="20"/>
                <w:szCs w:val="20"/>
              </w:rPr>
              <w:t>Выполнение работ для обеспечения протезами голени</w:t>
            </w:r>
            <w:r>
              <w:rPr>
                <w:rFonts w:ascii="Times New Roman" w:hAnsi="Times New Roman"/>
                <w:sz w:val="20"/>
                <w:szCs w:val="20"/>
                <w:lang w:eastAsia="ru-RU"/>
              </w:rPr>
              <w:t xml:space="preserve"> модульными, в том числе при недоразвитии</w:t>
            </w:r>
          </w:p>
        </w:tc>
        <w:tc>
          <w:tcPr>
            <w:tcW w:w="3119" w:type="dxa"/>
            <w:tcBorders>
              <w:left w:val="single" w:sz="4" w:space="0" w:color="auto"/>
            </w:tcBorders>
          </w:tcPr>
          <w:p w:rsidR="00FC5202" w:rsidRDefault="00FC5202" w:rsidP="00FC5202">
            <w:pPr>
              <w:spacing w:after="0" w:line="240" w:lineRule="auto"/>
              <w:ind w:right="131"/>
              <w:jc w:val="both"/>
              <w:rPr>
                <w:rFonts w:ascii="Times New Roman" w:hAnsi="Times New Roman"/>
                <w:sz w:val="20"/>
                <w:szCs w:val="20"/>
              </w:rPr>
            </w:pPr>
            <w:r>
              <w:rPr>
                <w:rFonts w:ascii="Times New Roman" w:hAnsi="Times New Roman"/>
                <w:sz w:val="20"/>
                <w:szCs w:val="20"/>
              </w:rPr>
              <w:t>Протез голени модульный, в том числе при недоразвитии.</w:t>
            </w:r>
          </w:p>
          <w:p w:rsidR="00FC5202" w:rsidRDefault="00FC5202" w:rsidP="00FC5202">
            <w:pPr>
              <w:spacing w:after="0" w:line="240" w:lineRule="auto"/>
              <w:ind w:right="131"/>
              <w:contextualSpacing/>
              <w:jc w:val="both"/>
              <w:rPr>
                <w:rFonts w:ascii="Times New Roman" w:hAnsi="Times New Roman" w:cs="Times New Roman"/>
                <w:bCs/>
                <w:sz w:val="20"/>
                <w:szCs w:val="20"/>
                <w:lang w:eastAsia="zh-CN"/>
              </w:rPr>
            </w:pPr>
            <w:r>
              <w:rPr>
                <w:rFonts w:ascii="Times New Roman" w:hAnsi="Times New Roman"/>
                <w:sz w:val="20"/>
                <w:szCs w:val="20"/>
              </w:rPr>
              <w:t xml:space="preserve">Протез голени с двумя силиконовыми чехлами на короткую и среднюю культю, модульный. Формообразующая часть косметической облицовки - модульная мягкая полиуретановая, листовой поролон или полужёсткая эластичная (по выбору Получателя). Косметическое покрытие облицовки - чулки ортопедические </w:t>
            </w:r>
            <w:proofErr w:type="spellStart"/>
            <w:r>
              <w:rPr>
                <w:rFonts w:ascii="Times New Roman" w:hAnsi="Times New Roman"/>
                <w:sz w:val="20"/>
                <w:szCs w:val="20"/>
              </w:rPr>
              <w:t>перлоновые</w:t>
            </w:r>
            <w:proofErr w:type="spellEnd"/>
            <w:r>
              <w:rPr>
                <w:rFonts w:ascii="Times New Roman" w:hAnsi="Times New Roman"/>
                <w:sz w:val="20"/>
                <w:szCs w:val="20"/>
              </w:rPr>
              <w:t xml:space="preserve"> или </w:t>
            </w:r>
            <w:proofErr w:type="spellStart"/>
            <w:r>
              <w:rPr>
                <w:rFonts w:ascii="Times New Roman" w:hAnsi="Times New Roman"/>
                <w:sz w:val="20"/>
                <w:szCs w:val="20"/>
              </w:rPr>
              <w:t>силоновые</w:t>
            </w:r>
            <w:proofErr w:type="spellEnd"/>
            <w:r>
              <w:rPr>
                <w:rFonts w:ascii="Times New Roman" w:hAnsi="Times New Roman"/>
                <w:sz w:val="20"/>
                <w:szCs w:val="20"/>
              </w:rPr>
              <w:t xml:space="preserve">, допускается покрытие защитное плёночное (по выбору Получателя).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полимерные </w:t>
            </w:r>
            <w:proofErr w:type="spellStart"/>
            <w:r>
              <w:rPr>
                <w:rFonts w:ascii="Times New Roman" w:hAnsi="Times New Roman"/>
                <w:sz w:val="20"/>
                <w:szCs w:val="20"/>
              </w:rPr>
              <w:t>гелевые</w:t>
            </w:r>
            <w:proofErr w:type="spellEnd"/>
            <w:r>
              <w:rPr>
                <w:rFonts w:ascii="Times New Roman" w:hAnsi="Times New Roman"/>
                <w:sz w:val="20"/>
                <w:szCs w:val="20"/>
              </w:rPr>
              <w:t>, крепление с использованием замка или вакуумной мембраны (по выбору Получателя). Регулировочно-соединительные устройства должны соответствовать весу Получателя. Стопа подвижная во всех вертикальных плоскостях, карбоновая. Тип протеза: любой, по назначению</w:t>
            </w:r>
          </w:p>
        </w:tc>
        <w:tc>
          <w:tcPr>
            <w:tcW w:w="9072" w:type="dxa"/>
            <w:vMerge w:val="restart"/>
            <w:tcBorders>
              <w:left w:val="single" w:sz="1" w:space="0" w:color="000000"/>
              <w:right w:val="single" w:sz="1" w:space="0" w:color="000000"/>
            </w:tcBorders>
          </w:tcPr>
          <w:p w:rsidR="00904B12" w:rsidRPr="00904B12" w:rsidRDefault="00904B12" w:rsidP="004B5046">
            <w:pPr>
              <w:shd w:val="clear" w:color="auto" w:fill="FFFFFF"/>
              <w:autoSpaceDE w:val="0"/>
              <w:spacing w:after="0" w:line="240" w:lineRule="auto"/>
              <w:jc w:val="center"/>
              <w:rPr>
                <w:rFonts w:ascii="Times New Roman" w:eastAsia="Arial" w:hAnsi="Times New Roman" w:cs="Times New Roman"/>
                <w:b/>
                <w:sz w:val="19"/>
                <w:szCs w:val="19"/>
              </w:rPr>
            </w:pPr>
            <w:r w:rsidRPr="00904B12">
              <w:rPr>
                <w:rFonts w:ascii="Times New Roman" w:eastAsia="Arial" w:hAnsi="Times New Roman" w:cs="Times New Roman"/>
                <w:b/>
                <w:sz w:val="19"/>
                <w:szCs w:val="19"/>
              </w:rPr>
              <w:t>Требования к техническим и функциональным характеристикам работ</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В соответствии с п. 1 раздела 2 ГОСТ Р 51819-2022 выполняемые работы по обеспечению Получателей протезами нижних конечностей должны содержать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В соответствии п. 39 раздела 2 ГОСТ Р 51819-2022 приемная гильза протеза конечности должна изготавливаться по индивидуальному параметру Получателя и предназначаться для размещения в нем культи, обеспечивая взаимодействие человека с протезом конечности.</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xml:space="preserve"> В соответствии п. 21 раздела 2 ГОСТ Р 51819-2022 функциональный узел протеза конечности должен выполнять заданную функцию и иметь конструктивно-технологическую завершенность.</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xml:space="preserve">В соответствии с п.5.2.1 ГОСТ Р 53870-2021 работы должны включать в себя: </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оформление карты протезирования, заказа;</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изготовление изделия для примерки;</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примерку приемной гильзы;</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предварительную сборку протеза;</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примерку, установку, подгонку узлов, креплений;</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окончательную сборку и отделку протеза;</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xml:space="preserve">- обучение пользованию протезом, уходу за изделием и культей (недоразвитой конечностью) и выдачу готового изделия. </w:t>
            </w:r>
          </w:p>
          <w:p w:rsidR="00904B12" w:rsidRPr="00904B12" w:rsidRDefault="00904B12" w:rsidP="004B5046">
            <w:pPr>
              <w:shd w:val="clear" w:color="auto" w:fill="FFFFFF"/>
              <w:autoSpaceDE w:val="0"/>
              <w:spacing w:after="0" w:line="240" w:lineRule="auto"/>
              <w:jc w:val="center"/>
              <w:rPr>
                <w:rFonts w:ascii="Times New Roman" w:eastAsia="Arial" w:hAnsi="Times New Roman" w:cs="Times New Roman"/>
                <w:b/>
                <w:sz w:val="19"/>
                <w:szCs w:val="19"/>
              </w:rPr>
            </w:pPr>
            <w:r w:rsidRPr="00904B12">
              <w:rPr>
                <w:rFonts w:ascii="Times New Roman" w:eastAsia="Arial" w:hAnsi="Times New Roman" w:cs="Times New Roman"/>
                <w:b/>
                <w:sz w:val="19"/>
                <w:szCs w:val="19"/>
              </w:rPr>
              <w:t>Требования к материалам</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xml:space="preserve">В соответствии с разделом 9 ГОСТ Р 53869-2021 «Протезы нижних конечностей. Технические требования»: </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Материалы, применяемые при изготовлении протеза, должны соответствовать требованиям ГОСТ Р ИСО 22523, пункт 5.1.</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ГОСТ Р 52770, ГОСТ ISO 10993-1, ГОСТ ISO 10993-5, ГОСТ ISO 10993-10, ГОСТ ISO 10993-12 в части предъявляемых требований и характеристик.</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Термопластичные материалы приемных гильз протеза должны обеспечивать термическую и механическую подгонку (</w:t>
            </w:r>
            <w:proofErr w:type="spellStart"/>
            <w:r w:rsidRPr="00904B12">
              <w:rPr>
                <w:rFonts w:ascii="Times New Roman" w:eastAsia="Arial" w:hAnsi="Times New Roman" w:cs="Times New Roman"/>
                <w:sz w:val="19"/>
                <w:szCs w:val="19"/>
              </w:rPr>
              <w:t>подформовку</w:t>
            </w:r>
            <w:proofErr w:type="spellEnd"/>
            <w:r w:rsidRPr="00904B12">
              <w:rPr>
                <w:rFonts w:ascii="Times New Roman" w:eastAsia="Arial" w:hAnsi="Times New Roman" w:cs="Times New Roman"/>
                <w:sz w:val="19"/>
                <w:szCs w:val="19"/>
              </w:rPr>
              <w:t>).</w:t>
            </w:r>
          </w:p>
          <w:p w:rsidR="00904B12" w:rsidRPr="00904B12" w:rsidRDefault="00904B12" w:rsidP="004B5046">
            <w:pPr>
              <w:shd w:val="clear" w:color="auto" w:fill="FFFFFF"/>
              <w:autoSpaceDE w:val="0"/>
              <w:spacing w:after="0" w:line="240" w:lineRule="auto"/>
              <w:ind w:firstLine="131"/>
              <w:jc w:val="both"/>
              <w:rPr>
                <w:rFonts w:ascii="Times New Roman" w:eastAsia="Arial" w:hAnsi="Times New Roman" w:cs="Times New Roman"/>
                <w:color w:val="000000"/>
                <w:sz w:val="19"/>
                <w:szCs w:val="19"/>
              </w:rPr>
            </w:pPr>
            <w:r w:rsidRPr="00904B12">
              <w:rPr>
                <w:rFonts w:ascii="Times New Roman" w:eastAsia="Arial" w:hAnsi="Times New Roman" w:cs="Times New Roman"/>
                <w:sz w:val="19"/>
                <w:szCs w:val="19"/>
              </w:rPr>
              <w:t xml:space="preserve">- Материалы приемных гильз должны обеспечивать установку заклепочных </w:t>
            </w:r>
            <w:r w:rsidRPr="00904B12">
              <w:rPr>
                <w:rFonts w:ascii="Times New Roman" w:eastAsia="Arial" w:hAnsi="Times New Roman" w:cs="Times New Roman"/>
                <w:color w:val="000000"/>
                <w:sz w:val="19"/>
                <w:szCs w:val="19"/>
              </w:rPr>
              <w:t>соединений без образования растрескиваний и разрывов.</w:t>
            </w:r>
          </w:p>
          <w:p w:rsidR="00904B12" w:rsidRPr="00904B12" w:rsidRDefault="00904B12" w:rsidP="004B5046">
            <w:pPr>
              <w:shd w:val="clear" w:color="auto" w:fill="FFFFFF"/>
              <w:autoSpaceDE w:val="0"/>
              <w:spacing w:after="0" w:line="240" w:lineRule="auto"/>
              <w:jc w:val="both"/>
              <w:rPr>
                <w:rFonts w:ascii="Times New Roman" w:eastAsia="Arial" w:hAnsi="Times New Roman" w:cs="Times New Roman"/>
                <w:color w:val="000000"/>
                <w:sz w:val="19"/>
                <w:szCs w:val="19"/>
              </w:rPr>
            </w:pPr>
            <w:r w:rsidRPr="00904B12">
              <w:rPr>
                <w:rFonts w:ascii="Times New Roman" w:eastAsia="Arial" w:hAnsi="Times New Roman" w:cs="Times New Roman"/>
                <w:color w:val="000000"/>
                <w:sz w:val="19"/>
                <w:szCs w:val="19"/>
              </w:rPr>
              <w:t>- Материалы приемных гильз не должны деформироваться в процессе эксплуатации протеза.</w:t>
            </w:r>
          </w:p>
          <w:p w:rsidR="00904B12" w:rsidRPr="00904B12" w:rsidRDefault="00904B12" w:rsidP="004B5046">
            <w:pPr>
              <w:shd w:val="clear" w:color="auto" w:fill="FFFFFF"/>
              <w:autoSpaceDE w:val="0"/>
              <w:spacing w:after="0" w:line="240" w:lineRule="auto"/>
              <w:ind w:firstLine="709"/>
              <w:jc w:val="center"/>
              <w:rPr>
                <w:rFonts w:ascii="Times New Roman" w:eastAsia="Arial" w:hAnsi="Times New Roman" w:cs="Times New Roman"/>
                <w:b/>
                <w:sz w:val="19"/>
                <w:szCs w:val="19"/>
              </w:rPr>
            </w:pPr>
            <w:r w:rsidRPr="00904B12">
              <w:rPr>
                <w:rFonts w:ascii="Times New Roman" w:eastAsia="Arial" w:hAnsi="Times New Roman" w:cs="Times New Roman"/>
                <w:b/>
                <w:sz w:val="19"/>
                <w:szCs w:val="19"/>
              </w:rPr>
              <w:t>Требования к результатам работ</w:t>
            </w:r>
          </w:p>
          <w:p w:rsidR="00904B12" w:rsidRPr="00904B12" w:rsidRDefault="00904B12" w:rsidP="004B5046">
            <w:pPr>
              <w:shd w:val="clear" w:color="auto" w:fill="FFFFFF"/>
              <w:autoSpaceDE w:val="0"/>
              <w:spacing w:after="0" w:line="240" w:lineRule="auto"/>
              <w:ind w:firstLine="283"/>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Работы по обеспечению Получателей протезами нижних конечностей следует считать эффективно исполненными, если у Получателя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протезами нижних конечностей должны быть выполнены с надлежащим качеством и в установленные сроки.</w:t>
            </w:r>
          </w:p>
          <w:p w:rsidR="00904B12" w:rsidRPr="00904B12" w:rsidRDefault="00904B12" w:rsidP="004B5046">
            <w:pPr>
              <w:shd w:val="clear" w:color="auto" w:fill="FFFFFF"/>
              <w:autoSpaceDE w:val="0"/>
              <w:spacing w:after="0" w:line="240" w:lineRule="auto"/>
              <w:ind w:firstLine="709"/>
              <w:jc w:val="center"/>
              <w:rPr>
                <w:rFonts w:ascii="Times New Roman" w:eastAsia="Arial" w:hAnsi="Times New Roman" w:cs="Times New Roman"/>
                <w:b/>
                <w:sz w:val="19"/>
                <w:szCs w:val="19"/>
              </w:rPr>
            </w:pPr>
            <w:r w:rsidRPr="00904B12">
              <w:rPr>
                <w:rFonts w:ascii="Times New Roman" w:eastAsia="Arial" w:hAnsi="Times New Roman" w:cs="Times New Roman"/>
                <w:b/>
                <w:sz w:val="19"/>
                <w:szCs w:val="19"/>
              </w:rPr>
              <w:t>Требования к срокам и (или) объему предоставления гарантии качества работ</w:t>
            </w:r>
          </w:p>
          <w:p w:rsidR="00904B12" w:rsidRPr="00904B12" w:rsidRDefault="00904B12" w:rsidP="004B5046">
            <w:pPr>
              <w:shd w:val="clear" w:color="auto" w:fill="FFFFFF"/>
              <w:autoSpaceDE w:val="0"/>
              <w:spacing w:after="0" w:line="240" w:lineRule="auto"/>
              <w:ind w:firstLine="187"/>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Гарантийный срок на протезы устанавливается со дня выдачи готового изделия в эксплуатацию и должен составлять не менее 7 месяцев. В течение этого срока Исполнитель производит замену или ремонт изделия бесплатно.</w:t>
            </w:r>
          </w:p>
          <w:p w:rsidR="00904B12" w:rsidRPr="00904B12" w:rsidRDefault="00904B12" w:rsidP="004B5046">
            <w:pPr>
              <w:shd w:val="clear" w:color="auto" w:fill="FFFFFF"/>
              <w:autoSpaceDE w:val="0"/>
              <w:spacing w:after="0" w:line="240" w:lineRule="auto"/>
              <w:ind w:firstLine="709"/>
              <w:jc w:val="both"/>
              <w:rPr>
                <w:rFonts w:ascii="Times New Roman" w:eastAsia="Arial" w:hAnsi="Times New Roman" w:cs="Times New Roman"/>
                <w:b/>
                <w:sz w:val="19"/>
                <w:szCs w:val="19"/>
              </w:rPr>
            </w:pPr>
            <w:r w:rsidRPr="00904B12">
              <w:rPr>
                <w:rFonts w:ascii="Times New Roman" w:eastAsia="Arial" w:hAnsi="Times New Roman" w:cs="Times New Roman"/>
                <w:b/>
                <w:sz w:val="19"/>
                <w:szCs w:val="19"/>
              </w:rPr>
              <w:t>Требования к месту, условиям и срокам (периодам) выполнения работ</w:t>
            </w:r>
          </w:p>
          <w:p w:rsidR="00904B12" w:rsidRPr="00904B12" w:rsidRDefault="00904B12" w:rsidP="004B5046">
            <w:pPr>
              <w:autoSpaceDE w:val="0"/>
              <w:spacing w:after="0" w:line="240" w:lineRule="auto"/>
              <w:ind w:firstLine="709"/>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xml:space="preserve">Выполнение работ по обеспечению пострадавших от несчастных случаев на производстве и профессиональных заболеваний протезами нижних конечностей производится до 15 декабря 2024 года. </w:t>
            </w:r>
          </w:p>
          <w:p w:rsidR="00904B12" w:rsidRPr="00904B12" w:rsidRDefault="00904B12" w:rsidP="004B5046">
            <w:pPr>
              <w:autoSpaceDE w:val="0"/>
              <w:spacing w:after="0" w:line="240" w:lineRule="auto"/>
              <w:ind w:firstLine="709"/>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 xml:space="preserve">Срок выполнения Работ со дня получения списков или обращения пострадавшего к Получателя по направлению Заказчика – не более 30 дней. </w:t>
            </w:r>
          </w:p>
          <w:p w:rsidR="00904B12" w:rsidRPr="00904B12" w:rsidRDefault="00904B12" w:rsidP="004B5046">
            <w:pPr>
              <w:autoSpaceDE w:val="0"/>
              <w:spacing w:after="0" w:line="240" w:lineRule="auto"/>
              <w:ind w:firstLine="709"/>
              <w:jc w:val="both"/>
              <w:rPr>
                <w:rFonts w:ascii="Times New Roman" w:eastAsia="Arial" w:hAnsi="Times New Roman" w:cs="Times New Roman"/>
                <w:sz w:val="19"/>
                <w:szCs w:val="19"/>
              </w:rPr>
            </w:pPr>
            <w:r w:rsidRPr="00904B12">
              <w:rPr>
                <w:rFonts w:ascii="Times New Roman" w:eastAsia="Arial" w:hAnsi="Times New Roman" w:cs="Times New Roman"/>
                <w:sz w:val="19"/>
                <w:szCs w:val="19"/>
              </w:rPr>
              <w:t>Место выполнения работ –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w:t>
            </w:r>
          </w:p>
          <w:p w:rsidR="00904B12" w:rsidRPr="00904B12" w:rsidRDefault="00904B12" w:rsidP="004B5046">
            <w:pPr>
              <w:autoSpaceDE w:val="0"/>
              <w:spacing w:after="0" w:line="240" w:lineRule="auto"/>
              <w:ind w:firstLine="709"/>
              <w:jc w:val="both"/>
              <w:rPr>
                <w:rFonts w:ascii="Times New Roman" w:eastAsia="Andale Sans UI" w:hAnsi="Times New Roman" w:cs="Times New Roman"/>
                <w:b/>
                <w:kern w:val="1"/>
                <w:sz w:val="19"/>
                <w:szCs w:val="19"/>
                <w:lang w:eastAsia="fa-IR" w:bidi="fa-IR"/>
              </w:rPr>
            </w:pPr>
            <w:r w:rsidRPr="00904B12">
              <w:rPr>
                <w:rFonts w:ascii="Times New Roman" w:eastAsia="Arial" w:hAnsi="Times New Roman" w:cs="Times New Roman"/>
                <w:sz w:val="19"/>
                <w:szCs w:val="19"/>
              </w:rPr>
              <w:t>Изготовление по индивидуальным слепкам. Доставка готового изделия при необходимости по месту жительства Получателя.</w:t>
            </w:r>
            <w:r w:rsidRPr="00904B12">
              <w:rPr>
                <w:rFonts w:ascii="Times New Roman" w:eastAsia="Andale Sans UI" w:hAnsi="Times New Roman" w:cs="Times New Roman"/>
                <w:b/>
                <w:kern w:val="1"/>
                <w:sz w:val="19"/>
                <w:szCs w:val="19"/>
                <w:lang w:eastAsia="fa-IR" w:bidi="fa-IR"/>
              </w:rPr>
              <w:t xml:space="preserve"> </w:t>
            </w:r>
          </w:p>
          <w:p w:rsidR="00904B12" w:rsidRPr="00904B12" w:rsidRDefault="00904B12" w:rsidP="004B5046">
            <w:pPr>
              <w:spacing w:after="0" w:line="240" w:lineRule="auto"/>
              <w:jc w:val="center"/>
              <w:rPr>
                <w:rFonts w:ascii="Times New Roman" w:eastAsia="Andale Sans UI" w:hAnsi="Times New Roman" w:cs="Times New Roman"/>
                <w:b/>
                <w:kern w:val="1"/>
                <w:sz w:val="19"/>
                <w:szCs w:val="19"/>
                <w:lang w:eastAsia="fa-IR" w:bidi="fa-IR"/>
              </w:rPr>
            </w:pPr>
            <w:r w:rsidRPr="00904B12">
              <w:rPr>
                <w:rFonts w:ascii="Times New Roman" w:eastAsia="Andale Sans UI" w:hAnsi="Times New Roman" w:cs="Times New Roman"/>
                <w:b/>
                <w:kern w:val="1"/>
                <w:sz w:val="19"/>
                <w:szCs w:val="19"/>
                <w:lang w:eastAsia="fa-IR" w:bidi="fa-IR"/>
              </w:rPr>
              <w:t>Требования к пункту выдачи Товара.</w:t>
            </w:r>
          </w:p>
          <w:p w:rsidR="00904B12" w:rsidRPr="00904B12" w:rsidRDefault="00904B12" w:rsidP="004B5046">
            <w:pPr>
              <w:spacing w:after="0" w:line="240" w:lineRule="auto"/>
              <w:ind w:firstLine="567"/>
              <w:jc w:val="both"/>
              <w:rPr>
                <w:rFonts w:ascii="Times New Roman" w:eastAsia="Andale Sans UI" w:hAnsi="Times New Roman" w:cs="Times New Roman"/>
                <w:kern w:val="1"/>
                <w:sz w:val="19"/>
                <w:szCs w:val="19"/>
                <w:lang w:eastAsia="fa-IR" w:bidi="fa-IR"/>
              </w:rPr>
            </w:pPr>
            <w:r w:rsidRPr="00904B12">
              <w:rPr>
                <w:rFonts w:ascii="Times New Roman" w:eastAsia="Andale Sans UI" w:hAnsi="Times New Roman" w:cs="Times New Roman"/>
                <w:kern w:val="1"/>
                <w:sz w:val="19"/>
                <w:szCs w:val="19"/>
                <w:lang w:eastAsia="fa-IR" w:bidi="fa-IR"/>
              </w:rPr>
              <w:t>Пункт выдачи должен быть организован в г. Иваново на расстоянии шаго</w:t>
            </w:r>
            <w:bookmarkStart w:id="0" w:name="_GoBack"/>
            <w:bookmarkEnd w:id="0"/>
            <w:r w:rsidRPr="00904B12">
              <w:rPr>
                <w:rFonts w:ascii="Times New Roman" w:eastAsia="Andale Sans UI" w:hAnsi="Times New Roman" w:cs="Times New Roman"/>
                <w:kern w:val="1"/>
                <w:sz w:val="19"/>
                <w:szCs w:val="19"/>
                <w:lang w:eastAsia="fa-IR" w:bidi="fa-IR"/>
              </w:rPr>
              <w:t>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904B12" w:rsidRPr="00904B12" w:rsidRDefault="00904B12" w:rsidP="004B5046">
            <w:pPr>
              <w:spacing w:after="0" w:line="240" w:lineRule="auto"/>
              <w:ind w:firstLine="567"/>
              <w:jc w:val="both"/>
              <w:rPr>
                <w:rFonts w:ascii="Times New Roman" w:eastAsia="Andale Sans UI" w:hAnsi="Times New Roman" w:cs="Times New Roman"/>
                <w:kern w:val="1"/>
                <w:sz w:val="19"/>
                <w:szCs w:val="19"/>
                <w:lang w:eastAsia="fa-IR" w:bidi="fa-IR"/>
              </w:rPr>
            </w:pPr>
            <w:r w:rsidRPr="00904B12">
              <w:rPr>
                <w:rFonts w:ascii="Times New Roman" w:eastAsia="Andale Sans UI" w:hAnsi="Times New Roman" w:cs="Times New Roman"/>
                <w:kern w:val="1"/>
                <w:sz w:val="19"/>
                <w:szCs w:val="19"/>
                <w:lang w:eastAsia="fa-IR" w:bidi="fa-IR"/>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904B12" w:rsidRPr="00904B12" w:rsidRDefault="00904B12" w:rsidP="004B5046">
            <w:pPr>
              <w:spacing w:after="0" w:line="240" w:lineRule="auto"/>
              <w:ind w:firstLine="567"/>
              <w:jc w:val="both"/>
              <w:rPr>
                <w:rFonts w:ascii="Times New Roman" w:eastAsia="Andale Sans UI" w:hAnsi="Times New Roman" w:cs="Times New Roman"/>
                <w:kern w:val="1"/>
                <w:sz w:val="19"/>
                <w:szCs w:val="19"/>
                <w:lang w:eastAsia="fa-IR" w:bidi="fa-IR"/>
              </w:rPr>
            </w:pPr>
            <w:r w:rsidRPr="00904B12">
              <w:rPr>
                <w:rFonts w:ascii="Times New Roman" w:eastAsia="Andale Sans UI" w:hAnsi="Times New Roman" w:cs="Times New Roman"/>
                <w:kern w:val="1"/>
                <w:sz w:val="19"/>
                <w:szCs w:val="19"/>
                <w:lang w:eastAsia="fa-IR" w:bidi="fa-IR"/>
              </w:rPr>
              <w:t>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
          <w:p w:rsidR="00904B12" w:rsidRPr="00904B12" w:rsidRDefault="00904B12" w:rsidP="004B5046">
            <w:pPr>
              <w:spacing w:after="0" w:line="240" w:lineRule="auto"/>
              <w:ind w:firstLine="567"/>
              <w:jc w:val="both"/>
              <w:rPr>
                <w:rFonts w:ascii="Times New Roman" w:eastAsia="Andale Sans UI" w:hAnsi="Times New Roman" w:cs="Times New Roman"/>
                <w:kern w:val="1"/>
                <w:sz w:val="19"/>
                <w:szCs w:val="19"/>
                <w:lang w:eastAsia="fa-IR" w:bidi="fa-IR"/>
              </w:rPr>
            </w:pPr>
            <w:r w:rsidRPr="00904B12">
              <w:rPr>
                <w:rFonts w:ascii="Times New Roman" w:eastAsia="Andale Sans UI" w:hAnsi="Times New Roman" w:cs="Times New Roman"/>
                <w:kern w:val="1"/>
                <w:sz w:val="19"/>
                <w:szCs w:val="19"/>
                <w:lang w:eastAsia="fa-IR" w:bidi="fa-IR"/>
              </w:rPr>
              <w:t xml:space="preserve">Пункт выдачи должен быть оборудован камерами </w:t>
            </w:r>
            <w:proofErr w:type="spellStart"/>
            <w:r w:rsidRPr="00904B12">
              <w:rPr>
                <w:rFonts w:ascii="Times New Roman" w:eastAsia="Andale Sans UI" w:hAnsi="Times New Roman" w:cs="Times New Roman"/>
                <w:kern w:val="1"/>
                <w:sz w:val="19"/>
                <w:szCs w:val="19"/>
                <w:lang w:eastAsia="fa-IR" w:bidi="fa-IR"/>
              </w:rPr>
              <w:t>видеофиксации</w:t>
            </w:r>
            <w:proofErr w:type="spellEnd"/>
            <w:r w:rsidRPr="00904B12">
              <w:rPr>
                <w:rFonts w:ascii="Times New Roman" w:eastAsia="Andale Sans UI" w:hAnsi="Times New Roman" w:cs="Times New Roman"/>
                <w:kern w:val="1"/>
                <w:sz w:val="19"/>
                <w:szCs w:val="19"/>
                <w:lang w:eastAsia="fa-IR" w:bidi="fa-IR"/>
              </w:rPr>
              <w:t>, которые будут вести видеозапись приема-передачи товара Получателям, а также телефонными аппаратами для консультации Получателей ТСР.</w:t>
            </w:r>
          </w:p>
          <w:p w:rsidR="00904B12" w:rsidRPr="00904B12" w:rsidRDefault="00904B12" w:rsidP="004B5046">
            <w:pPr>
              <w:spacing w:after="0" w:line="240" w:lineRule="auto"/>
              <w:ind w:firstLine="567"/>
              <w:jc w:val="both"/>
              <w:rPr>
                <w:rFonts w:ascii="Times New Roman" w:eastAsia="Andale Sans UI" w:hAnsi="Times New Roman" w:cs="Times New Roman"/>
                <w:kern w:val="1"/>
                <w:sz w:val="19"/>
                <w:szCs w:val="19"/>
                <w:lang w:eastAsia="fa-IR" w:bidi="fa-IR"/>
              </w:rPr>
            </w:pPr>
            <w:r w:rsidRPr="00904B12">
              <w:rPr>
                <w:rFonts w:ascii="Times New Roman" w:eastAsia="Andale Sans UI" w:hAnsi="Times New Roman" w:cs="Times New Roman"/>
                <w:kern w:val="1"/>
                <w:sz w:val="19"/>
                <w:szCs w:val="19"/>
                <w:lang w:eastAsia="fa-IR" w:bidi="fa-IR"/>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904B12" w:rsidRPr="00904B12" w:rsidRDefault="00904B12" w:rsidP="004B5046">
            <w:pPr>
              <w:spacing w:after="0" w:line="240" w:lineRule="auto"/>
              <w:ind w:firstLine="567"/>
              <w:jc w:val="both"/>
              <w:rPr>
                <w:rFonts w:ascii="Times New Roman" w:eastAsia="Andale Sans UI" w:hAnsi="Times New Roman" w:cs="Times New Roman"/>
                <w:kern w:val="1"/>
                <w:sz w:val="19"/>
                <w:szCs w:val="19"/>
                <w:lang w:eastAsia="fa-IR" w:bidi="fa-IR"/>
              </w:rPr>
            </w:pPr>
            <w:r w:rsidRPr="00904B12">
              <w:rPr>
                <w:rFonts w:ascii="Times New Roman" w:eastAsia="Andale Sans UI" w:hAnsi="Times New Roman" w:cs="Times New Roman"/>
                <w:kern w:val="1"/>
                <w:sz w:val="19"/>
                <w:szCs w:val="19"/>
                <w:lang w:eastAsia="fa-IR" w:bidi="fa-IR"/>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FC5202" w:rsidRDefault="00904B12" w:rsidP="004B5046">
            <w:pPr>
              <w:spacing w:after="0" w:line="240" w:lineRule="auto"/>
              <w:jc w:val="both"/>
              <w:rPr>
                <w:rFonts w:ascii="Times New Roman" w:hAnsi="Times New Roman" w:cs="Times New Roman"/>
                <w:sz w:val="20"/>
                <w:szCs w:val="20"/>
                <w:lang w:eastAsia="zh-CN"/>
              </w:rPr>
            </w:pPr>
            <w:r w:rsidRPr="00904B12">
              <w:rPr>
                <w:rFonts w:ascii="Times New Roman" w:eastAsia="Andale Sans UI" w:hAnsi="Times New Roman" w:cs="Times New Roman"/>
                <w:kern w:val="1"/>
                <w:sz w:val="19"/>
                <w:szCs w:val="19"/>
                <w:lang w:eastAsia="fa-IR" w:bidi="fa-IR"/>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r w:rsidR="00FC5202" w:rsidRPr="00904B12">
              <w:rPr>
                <w:rFonts w:ascii="Times New Roman" w:eastAsia="Andale Sans UI" w:hAnsi="Times New Roman"/>
                <w:kern w:val="1"/>
                <w:sz w:val="19"/>
                <w:szCs w:val="19"/>
                <w:lang w:eastAsia="fa-IR" w:bidi="fa-IR"/>
              </w:rPr>
              <w:t>.</w:t>
            </w: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C5202" w:rsidRDefault="00FC5202">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00904B12">
              <w:rPr>
                <w:rFonts w:ascii="Times New Roman" w:hAnsi="Times New Roman" w:cs="Times New Roman"/>
                <w:sz w:val="20"/>
                <w:szCs w:val="20"/>
                <w:lang w:eastAsia="zh-CN"/>
              </w:rPr>
              <w:t>1</w:t>
            </w:r>
          </w:p>
        </w:tc>
      </w:tr>
      <w:tr w:rsidR="00FC5202" w:rsidTr="00BA446F">
        <w:trPr>
          <w:trHeight w:val="213"/>
        </w:trPr>
        <w:tc>
          <w:tcPr>
            <w:tcW w:w="426" w:type="dxa"/>
            <w:tcMar>
              <w:top w:w="55" w:type="dxa"/>
              <w:left w:w="55" w:type="dxa"/>
              <w:bottom w:w="55" w:type="dxa"/>
              <w:right w:w="55" w:type="dxa"/>
            </w:tcMar>
          </w:tcPr>
          <w:p w:rsidR="00FC5202" w:rsidRDefault="00FC5202">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2. </w:t>
            </w:r>
          </w:p>
        </w:tc>
        <w:tc>
          <w:tcPr>
            <w:tcW w:w="1475" w:type="dxa"/>
            <w:tcBorders>
              <w:right w:val="single" w:sz="4" w:space="0" w:color="auto"/>
            </w:tcBorders>
            <w:tcMar>
              <w:top w:w="55" w:type="dxa"/>
              <w:left w:w="55" w:type="dxa"/>
              <w:bottom w:w="55" w:type="dxa"/>
              <w:right w:w="55" w:type="dxa"/>
            </w:tcMar>
          </w:tcPr>
          <w:p w:rsidR="00FC5202" w:rsidRPr="00352B53" w:rsidRDefault="00FC5202">
            <w:pPr>
              <w:tabs>
                <w:tab w:val="left" w:pos="6600"/>
              </w:tabs>
              <w:spacing w:after="0" w:line="240" w:lineRule="auto"/>
              <w:contextualSpacing/>
              <w:jc w:val="center"/>
              <w:rPr>
                <w:rFonts w:ascii="Times New Roman" w:hAnsi="Times New Roman" w:cs="Times New Roman"/>
                <w:bCs/>
                <w:iCs/>
                <w:kern w:val="1"/>
                <w:sz w:val="20"/>
                <w:szCs w:val="20"/>
                <w:lang w:eastAsia="zh-CN"/>
              </w:rPr>
            </w:pPr>
            <w:r>
              <w:rPr>
                <w:rFonts w:ascii="Times New Roman" w:hAnsi="Times New Roman"/>
                <w:kern w:val="3"/>
                <w:sz w:val="20"/>
                <w:szCs w:val="20"/>
              </w:rPr>
              <w:t>Выполнение работ для обеспечения протезами голени</w:t>
            </w:r>
            <w:r>
              <w:rPr>
                <w:rFonts w:ascii="Times New Roman" w:hAnsi="Times New Roman"/>
                <w:sz w:val="20"/>
                <w:szCs w:val="20"/>
                <w:lang w:eastAsia="ru-RU"/>
              </w:rPr>
              <w:t xml:space="preserve"> модульными, в том числе при недоразвитии</w:t>
            </w:r>
          </w:p>
        </w:tc>
        <w:tc>
          <w:tcPr>
            <w:tcW w:w="3119" w:type="dxa"/>
            <w:tcBorders>
              <w:left w:val="single" w:sz="4" w:space="0" w:color="auto"/>
            </w:tcBorders>
          </w:tcPr>
          <w:p w:rsidR="00FC5202" w:rsidRDefault="00FC5202" w:rsidP="00FC5202">
            <w:pPr>
              <w:spacing w:after="0" w:line="240" w:lineRule="auto"/>
              <w:ind w:left="-10" w:right="131"/>
              <w:jc w:val="both"/>
              <w:rPr>
                <w:rFonts w:ascii="Times New Roman" w:hAnsi="Times New Roman"/>
                <w:color w:val="000000"/>
                <w:sz w:val="20"/>
                <w:szCs w:val="20"/>
              </w:rPr>
            </w:pPr>
            <w:r>
              <w:rPr>
                <w:rFonts w:ascii="Times New Roman" w:hAnsi="Times New Roman"/>
                <w:sz w:val="20"/>
                <w:szCs w:val="20"/>
              </w:rPr>
              <w:t>Протез голени модульный, в том числе при недоразвитии.</w:t>
            </w:r>
          </w:p>
          <w:p w:rsidR="00FC5202" w:rsidRPr="00352B53" w:rsidRDefault="00FC5202" w:rsidP="00FC5202">
            <w:pPr>
              <w:spacing w:after="0" w:line="240" w:lineRule="auto"/>
              <w:ind w:left="-10" w:right="131"/>
              <w:contextualSpacing/>
              <w:jc w:val="both"/>
              <w:rPr>
                <w:rFonts w:ascii="Times New Roman" w:hAnsi="Times New Roman"/>
                <w:sz w:val="20"/>
                <w:szCs w:val="20"/>
                <w:lang w:eastAsia="ru-RU"/>
              </w:rPr>
            </w:pPr>
            <w:r>
              <w:rPr>
                <w:rFonts w:ascii="Times New Roman" w:hAnsi="Times New Roman"/>
                <w:color w:val="000000"/>
                <w:sz w:val="20"/>
                <w:szCs w:val="20"/>
              </w:rPr>
              <w:t xml:space="preserve">Протез голени модульный, косметическая оболочка мягкая полиуретановая (листовой поролон). Приемная гильза изготовлена по индивидуальному слепку с культи. Одна приемная гильза из слоистого пластика на основе акриловых смол, вкладная гильза из вспененного материала. Крепление поясное с использованием кожаных полуфабрикатов. Регулировочно-соединительные устройства соответствуют весу Получателя. Стопа с голеностопным шарниром, подвижным в сагиттальной плоскости, со сменным пяточным амортизатором или стопа </w:t>
            </w:r>
            <w:proofErr w:type="spellStart"/>
            <w:r>
              <w:rPr>
                <w:rFonts w:ascii="Times New Roman" w:hAnsi="Times New Roman"/>
                <w:color w:val="000000"/>
                <w:sz w:val="20"/>
                <w:szCs w:val="20"/>
              </w:rPr>
              <w:t>бесшарнирная</w:t>
            </w:r>
            <w:proofErr w:type="spellEnd"/>
            <w:r>
              <w:rPr>
                <w:rFonts w:ascii="Times New Roman" w:hAnsi="Times New Roman"/>
                <w:color w:val="000000"/>
                <w:sz w:val="20"/>
                <w:szCs w:val="20"/>
              </w:rPr>
              <w:t>, полиуретановая, монолитная (по выбору Получателя) Тип протеза: постоянный.</w:t>
            </w:r>
          </w:p>
        </w:tc>
        <w:tc>
          <w:tcPr>
            <w:tcW w:w="9072" w:type="dxa"/>
            <w:vMerge/>
            <w:tcBorders>
              <w:left w:val="single" w:sz="1" w:space="0" w:color="000000"/>
              <w:right w:val="single" w:sz="1" w:space="0" w:color="000000"/>
            </w:tcBorders>
          </w:tcPr>
          <w:p w:rsidR="00FC5202" w:rsidRPr="00352B53" w:rsidRDefault="00FC5202" w:rsidP="00352B53">
            <w:pPr>
              <w:shd w:val="clear" w:color="auto" w:fill="FFFFFF"/>
              <w:autoSpaceDE w:val="0"/>
              <w:spacing w:after="0" w:line="240" w:lineRule="auto"/>
              <w:ind w:left="131" w:right="131"/>
              <w:jc w:val="center"/>
              <w:rPr>
                <w:rFonts w:ascii="Times New Roman" w:eastAsia="Arial" w:hAnsi="Times New Roman" w:cs="Times New Roman"/>
                <w:b/>
                <w:sz w:val="19"/>
                <w:szCs w:val="19"/>
              </w:rPr>
            </w:pP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C5202" w:rsidRDefault="00904B12">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FC5202" w:rsidTr="00BA446F">
        <w:trPr>
          <w:trHeight w:val="213"/>
        </w:trPr>
        <w:tc>
          <w:tcPr>
            <w:tcW w:w="426" w:type="dxa"/>
            <w:tcMar>
              <w:top w:w="55" w:type="dxa"/>
              <w:left w:w="55" w:type="dxa"/>
              <w:bottom w:w="55" w:type="dxa"/>
              <w:right w:w="55" w:type="dxa"/>
            </w:tcMar>
          </w:tcPr>
          <w:p w:rsidR="00FC5202" w:rsidRDefault="00FC5202">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3. </w:t>
            </w:r>
          </w:p>
        </w:tc>
        <w:tc>
          <w:tcPr>
            <w:tcW w:w="1475" w:type="dxa"/>
            <w:tcBorders>
              <w:right w:val="single" w:sz="4" w:space="0" w:color="auto"/>
            </w:tcBorders>
            <w:tcMar>
              <w:top w:w="55" w:type="dxa"/>
              <w:left w:w="55" w:type="dxa"/>
              <w:bottom w:w="55" w:type="dxa"/>
              <w:right w:w="55" w:type="dxa"/>
            </w:tcMar>
          </w:tcPr>
          <w:p w:rsidR="00FC5202" w:rsidRPr="00352B53" w:rsidRDefault="00FC5202">
            <w:pPr>
              <w:tabs>
                <w:tab w:val="left" w:pos="6600"/>
              </w:tabs>
              <w:spacing w:after="0" w:line="240" w:lineRule="auto"/>
              <w:contextualSpacing/>
              <w:jc w:val="center"/>
              <w:rPr>
                <w:rFonts w:ascii="Times New Roman" w:hAnsi="Times New Roman" w:cs="Times New Roman"/>
                <w:bCs/>
                <w:iCs/>
                <w:kern w:val="1"/>
                <w:sz w:val="20"/>
                <w:szCs w:val="20"/>
                <w:lang w:eastAsia="zh-CN"/>
              </w:rPr>
            </w:pPr>
            <w:r>
              <w:rPr>
                <w:rFonts w:ascii="Times New Roman" w:hAnsi="Times New Roman"/>
                <w:kern w:val="3"/>
                <w:sz w:val="20"/>
                <w:szCs w:val="20"/>
              </w:rPr>
              <w:t>Выполнение работ для обеспечения протезами голени для купания</w:t>
            </w:r>
          </w:p>
        </w:tc>
        <w:tc>
          <w:tcPr>
            <w:tcW w:w="3119" w:type="dxa"/>
            <w:tcBorders>
              <w:left w:val="single" w:sz="4" w:space="0" w:color="auto"/>
            </w:tcBorders>
          </w:tcPr>
          <w:p w:rsidR="00FC5202" w:rsidRPr="00352B53" w:rsidRDefault="00FC5202" w:rsidP="00FC5202">
            <w:pPr>
              <w:spacing w:after="0" w:line="240" w:lineRule="auto"/>
              <w:contextualSpacing/>
              <w:jc w:val="both"/>
              <w:rPr>
                <w:rFonts w:ascii="Times New Roman" w:hAnsi="Times New Roman"/>
                <w:sz w:val="20"/>
                <w:szCs w:val="20"/>
                <w:lang w:eastAsia="ru-RU"/>
              </w:rPr>
            </w:pPr>
            <w:r>
              <w:rPr>
                <w:rFonts w:ascii="Times New Roman" w:hAnsi="Times New Roman"/>
                <w:color w:val="000000"/>
                <w:sz w:val="20"/>
                <w:szCs w:val="20"/>
              </w:rPr>
              <w:t>Протез голени для купания, модульный, косметическая оболочка ПВХ с индивидуальной приёмной гильзой, изготовленный по индивидуальному слепку с культи. Материал приемной гильзы – листовой термопластик, крепление за счет приемной гильзы. Стопа шарнирная, полиуретановая, монолитная.</w:t>
            </w:r>
          </w:p>
        </w:tc>
        <w:tc>
          <w:tcPr>
            <w:tcW w:w="9072" w:type="dxa"/>
            <w:vMerge/>
            <w:tcBorders>
              <w:left w:val="single" w:sz="1" w:space="0" w:color="000000"/>
              <w:right w:val="single" w:sz="1" w:space="0" w:color="000000"/>
            </w:tcBorders>
          </w:tcPr>
          <w:p w:rsidR="00FC5202" w:rsidRPr="00352B53" w:rsidRDefault="00FC5202" w:rsidP="00352B53">
            <w:pPr>
              <w:shd w:val="clear" w:color="auto" w:fill="FFFFFF"/>
              <w:autoSpaceDE w:val="0"/>
              <w:spacing w:after="0" w:line="240" w:lineRule="auto"/>
              <w:ind w:left="131" w:right="131"/>
              <w:jc w:val="center"/>
              <w:rPr>
                <w:rFonts w:ascii="Times New Roman" w:eastAsia="Arial" w:hAnsi="Times New Roman" w:cs="Times New Roman"/>
                <w:b/>
                <w:sz w:val="19"/>
                <w:szCs w:val="19"/>
              </w:rPr>
            </w:pP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C5202" w:rsidRDefault="00904B12">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5B6A61" w:rsidTr="00904B12">
        <w:trPr>
          <w:trHeight w:val="213"/>
        </w:trPr>
        <w:tc>
          <w:tcPr>
            <w:tcW w:w="14092" w:type="dxa"/>
            <w:gridSpan w:val="4"/>
            <w:tcBorders>
              <w:right w:val="single" w:sz="1" w:space="0" w:color="000000"/>
            </w:tcBorders>
            <w:tcMar>
              <w:top w:w="55" w:type="dxa"/>
              <w:left w:w="55" w:type="dxa"/>
              <w:bottom w:w="55" w:type="dxa"/>
              <w:right w:w="55" w:type="dxa"/>
            </w:tcMar>
            <w:vAlign w:val="center"/>
          </w:tcPr>
          <w:p w:rsidR="005B6A61" w:rsidRDefault="005C45B5">
            <w:pPr>
              <w:shd w:val="clear" w:color="auto" w:fill="FFFFFF"/>
              <w:autoSpaceDE w:val="0"/>
              <w:spacing w:after="0" w:line="240" w:lineRule="auto"/>
              <w:ind w:left="131" w:right="131"/>
              <w:jc w:val="right"/>
              <w:rPr>
                <w:rFonts w:ascii="Times New Roman" w:eastAsia="Arial" w:hAnsi="Times New Roman" w:cs="Times New Roman"/>
                <w:b/>
                <w:sz w:val="20"/>
                <w:szCs w:val="20"/>
              </w:rPr>
            </w:pPr>
            <w:r>
              <w:rPr>
                <w:rFonts w:ascii="Times New Roman" w:eastAsia="Arial" w:hAnsi="Times New Roman" w:cs="Times New Roman"/>
                <w:b/>
                <w:sz w:val="20"/>
                <w:szCs w:val="20"/>
              </w:rPr>
              <w:t>ИТОГО:</w:t>
            </w: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5B6A61" w:rsidRDefault="00FC5202">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13</w:t>
            </w:r>
          </w:p>
        </w:tc>
      </w:tr>
    </w:tbl>
    <w:p w:rsidR="005B6A61" w:rsidRDefault="005B6A61" w:rsidP="00995570">
      <w:pPr>
        <w:tabs>
          <w:tab w:val="left" w:pos="705"/>
        </w:tabs>
        <w:spacing w:after="0" w:line="240" w:lineRule="auto"/>
        <w:jc w:val="both"/>
        <w:rPr>
          <w:rFonts w:ascii="Times New Roman" w:eastAsia="Times New Roman" w:hAnsi="Times New Roman" w:cs="Times New Roman"/>
          <w:bCs/>
          <w:sz w:val="24"/>
          <w:lang w:eastAsia="ar-SA"/>
        </w:rPr>
      </w:pPr>
    </w:p>
    <w:p w:rsidR="005B6A61" w:rsidRDefault="005C45B5" w:rsidP="00995570">
      <w:pPr>
        <w:autoSpaceDE w:val="0"/>
        <w:adjustRightInd w:val="0"/>
        <w:spacing w:after="0" w:line="240" w:lineRule="auto"/>
        <w:ind w:firstLine="851"/>
        <w:jc w:val="both"/>
        <w:rPr>
          <w:rFonts w:ascii="Times New Roman" w:eastAsia="Arial" w:hAnsi="Times New Roman" w:cs="Times New Roman"/>
          <w:color w:val="000000"/>
          <w:spacing w:val="-4"/>
          <w:sz w:val="24"/>
          <w:szCs w:val="20"/>
          <w:lang w:eastAsia="zh-CN"/>
        </w:rPr>
      </w:pPr>
      <w:r>
        <w:rPr>
          <w:rFonts w:ascii="Times New Roman" w:eastAsia="Arial" w:hAnsi="Times New Roman" w:cs="Times New Roman"/>
          <w:color w:val="000000"/>
          <w:spacing w:val="-4"/>
          <w:sz w:val="24"/>
          <w:szCs w:val="20"/>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Pr>
          <w:rFonts w:ascii="Times New Roman" w:eastAsia="Arial" w:hAnsi="Times New Roman" w:cs="Times New Roman"/>
          <w:i/>
          <w:color w:val="000000"/>
          <w:spacing w:val="-4"/>
          <w:sz w:val="24"/>
          <w:szCs w:val="20"/>
          <w:lang w:eastAsia="zh-CN"/>
        </w:rPr>
        <w:t>(в случае использования и/или не использования Заказчиком таких показателей).</w:t>
      </w:r>
    </w:p>
    <w:p w:rsidR="005B6A61" w:rsidRDefault="005C45B5">
      <w:pPr>
        <w:spacing w:after="0"/>
        <w:ind w:firstLine="851"/>
        <w:jc w:val="both"/>
        <w:rPr>
          <w:rFonts w:ascii="Times New Roman" w:eastAsia="Arial" w:hAnsi="Times New Roman" w:cs="Times New Roman"/>
          <w:color w:val="000000"/>
          <w:spacing w:val="-4"/>
          <w:sz w:val="24"/>
          <w:szCs w:val="20"/>
          <w:lang w:eastAsia="zh-CN"/>
        </w:rPr>
      </w:pPr>
      <w:r>
        <w:rPr>
          <w:rFonts w:ascii="Times New Roman" w:eastAsia="Arial" w:hAnsi="Times New Roman" w:cs="Times New Roman"/>
          <w:color w:val="000000"/>
          <w:spacing w:val="-4"/>
          <w:sz w:val="24"/>
          <w:szCs w:val="20"/>
          <w:lang w:eastAsia="zh-CN"/>
        </w:rPr>
        <w:t>После проведения закупки</w:t>
      </w:r>
      <w:r>
        <w:rPr>
          <w:rFonts w:ascii="Times New Roman" w:hAnsi="Times New Roman" w:cs="Times New Roman"/>
          <w:color w:val="000000"/>
          <w:sz w:val="24"/>
          <w:szCs w:val="20"/>
          <w:lang w:eastAsia="zh-CN"/>
        </w:rPr>
        <w:t xml:space="preserve"> </w:t>
      </w:r>
      <w:r>
        <w:rPr>
          <w:rFonts w:ascii="Times New Roman" w:eastAsia="Arial" w:hAnsi="Times New Roman" w:cs="Times New Roman"/>
          <w:color w:val="000000"/>
          <w:spacing w:val="-4"/>
          <w:sz w:val="24"/>
          <w:szCs w:val="20"/>
          <w:lang w:eastAsia="zh-CN"/>
        </w:rPr>
        <w:t>цена за единицу товара (работы, услуги) определяется путем снижения начальной (максимальной) цены за единицу товара (работы, услуги) пропорционально снижению начальной (максимальной) цены контракта.</w:t>
      </w:r>
    </w:p>
    <w:p w:rsidR="005B6A61" w:rsidRDefault="005B6A61">
      <w:pPr>
        <w:tabs>
          <w:tab w:val="left" w:pos="705"/>
        </w:tabs>
        <w:jc w:val="both"/>
        <w:rPr>
          <w:rFonts w:ascii="Times New Roman" w:eastAsia="Times New Roman" w:hAnsi="Times New Roman" w:cs="Times New Roman"/>
          <w:bCs/>
          <w:sz w:val="24"/>
          <w:lang w:eastAsia="ar-SA"/>
        </w:rPr>
      </w:pPr>
    </w:p>
    <w:p w:rsidR="005B6A61" w:rsidRDefault="005B6A61">
      <w:pPr>
        <w:spacing w:after="0"/>
        <w:ind w:firstLine="851"/>
        <w:jc w:val="both"/>
        <w:rPr>
          <w:rFonts w:ascii="Times New Roman" w:eastAsia="Arial" w:hAnsi="Times New Roman" w:cs="Times New Roman"/>
          <w:color w:val="000000"/>
          <w:spacing w:val="-4"/>
          <w:sz w:val="24"/>
          <w:szCs w:val="20"/>
          <w:lang w:eastAsia="zh-CN"/>
        </w:rPr>
      </w:pPr>
    </w:p>
    <w:sectPr w:rsidR="005B6A61" w:rsidSect="00DD6220">
      <w:footerReference w:type="default" r:id="rId6"/>
      <w:pgSz w:w="16838" w:h="11905" w:orient="landscape"/>
      <w:pgMar w:top="1135" w:right="820" w:bottom="850"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A61" w:rsidRDefault="005C45B5">
      <w:pPr>
        <w:spacing w:after="0" w:line="240" w:lineRule="auto"/>
      </w:pPr>
      <w:r>
        <w:separator/>
      </w:r>
    </w:p>
  </w:endnote>
  <w:endnote w:type="continuationSeparator" w:id="0">
    <w:p w:rsidR="005B6A61" w:rsidRDefault="005C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106895"/>
      <w:docPartObj>
        <w:docPartGallery w:val="Page Numbers (Bottom of Page)"/>
        <w:docPartUnique/>
      </w:docPartObj>
    </w:sdtPr>
    <w:sdtEndPr/>
    <w:sdtContent>
      <w:p w:rsidR="005B6A61" w:rsidRDefault="005C45B5">
        <w:pPr>
          <w:pStyle w:val="af"/>
          <w:jc w:val="center"/>
        </w:pPr>
        <w:r>
          <w:fldChar w:fldCharType="begin"/>
        </w:r>
        <w:r>
          <w:instrText>PAGE   \* MERGEFORMAT</w:instrText>
        </w:r>
        <w:r>
          <w:fldChar w:fldCharType="separate"/>
        </w:r>
        <w:r w:rsidR="004B5046">
          <w:rPr>
            <w:noProof/>
          </w:rPr>
          <w:t>3</w:t>
        </w:r>
        <w:r>
          <w:fldChar w:fldCharType="end"/>
        </w:r>
      </w:p>
    </w:sdtContent>
  </w:sdt>
  <w:p w:rsidR="005B6A61" w:rsidRDefault="005B6A6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A61" w:rsidRDefault="005C45B5">
      <w:pPr>
        <w:spacing w:after="0" w:line="240" w:lineRule="auto"/>
      </w:pPr>
      <w:r>
        <w:separator/>
      </w:r>
    </w:p>
  </w:footnote>
  <w:footnote w:type="continuationSeparator" w:id="0">
    <w:p w:rsidR="005B6A61" w:rsidRDefault="005C45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61"/>
    <w:rsid w:val="001166C8"/>
    <w:rsid w:val="00352B53"/>
    <w:rsid w:val="003A40F8"/>
    <w:rsid w:val="004B5046"/>
    <w:rsid w:val="005B6A61"/>
    <w:rsid w:val="005C2A98"/>
    <w:rsid w:val="005C45B5"/>
    <w:rsid w:val="007D2990"/>
    <w:rsid w:val="00904B12"/>
    <w:rsid w:val="00940420"/>
    <w:rsid w:val="00995570"/>
    <w:rsid w:val="00A12069"/>
    <w:rsid w:val="00BA0F51"/>
    <w:rsid w:val="00BA446F"/>
    <w:rsid w:val="00BB2424"/>
    <w:rsid w:val="00BC4780"/>
    <w:rsid w:val="00D41C80"/>
    <w:rsid w:val="00DD6220"/>
    <w:rsid w:val="00E605CC"/>
    <w:rsid w:val="00F937F2"/>
    <w:rsid w:val="00FC5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8E583-BE4E-4631-A5A3-21F44D60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paragraph" w:styleId="a4">
    <w:name w:val="annotation text"/>
    <w:basedOn w:val="a"/>
    <w:link w:val="a5"/>
    <w:uiPriority w:val="99"/>
    <w:semiHidden/>
    <w:unhideWhenUsed/>
    <w:pPr>
      <w:spacing w:line="240" w:lineRule="auto"/>
    </w:pPr>
    <w:rPr>
      <w:sz w:val="20"/>
      <w:szCs w:val="20"/>
    </w:rPr>
  </w:style>
  <w:style w:type="character" w:customStyle="1" w:styleId="a5">
    <w:name w:val="Текст примечания Знак"/>
    <w:basedOn w:val="a0"/>
    <w:link w:val="a4"/>
    <w:uiPriority w:val="99"/>
    <w:semiHidden/>
    <w:rPr>
      <w:sz w:val="20"/>
      <w:szCs w:val="20"/>
    </w:rPr>
  </w:style>
  <w:style w:type="paragraph" w:styleId="a6">
    <w:name w:val="annotation subject"/>
    <w:basedOn w:val="a4"/>
    <w:next w:val="a4"/>
    <w:link w:val="a7"/>
    <w:uiPriority w:val="99"/>
    <w:semiHidden/>
    <w:unhideWhenUsed/>
    <w:rPr>
      <w:b/>
      <w:bCs/>
    </w:rPr>
  </w:style>
  <w:style w:type="character" w:customStyle="1" w:styleId="a7">
    <w:name w:val="Тема примечания Знак"/>
    <w:basedOn w:val="a5"/>
    <w:link w:val="a6"/>
    <w:uiPriority w:val="99"/>
    <w:semiHidden/>
    <w:rPr>
      <w:b/>
      <w:bCs/>
      <w:sz w:val="20"/>
      <w:szCs w:val="20"/>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Pr>
      <w:vertAlign w:val="superscript"/>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character" w:customStyle="1" w:styleId="121">
    <w:name w:val="Знак12 Знак Знак1"/>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rPr>
      <w:rFonts w:ascii="Times New Roman" w:eastAsia="Times New Roman" w:hAnsi="Times New Roman" w:cs="Times New Roman"/>
      <w:sz w:val="20"/>
      <w:szCs w:val="20"/>
      <w:lang w:eastAsia="zh-CN"/>
    </w:rPr>
  </w:style>
  <w:style w:type="character" w:customStyle="1" w:styleId="ng-binding">
    <w:name w:val="ng-binding"/>
    <w:basedOn w:val="a0"/>
  </w:style>
  <w:style w:type="paragraph" w:styleId="3">
    <w:name w:val="Body Text 3"/>
    <w:basedOn w:val="a"/>
    <w:link w:val="30"/>
    <w:uiPriority w:val="99"/>
    <w:unhideWhenUsed/>
    <w:pPr>
      <w:suppressAutoHyphens/>
      <w:spacing w:after="120" w:line="100" w:lineRule="atLeast"/>
      <w:textAlignment w:val="baseline"/>
    </w:pPr>
    <w:rPr>
      <w:rFonts w:ascii="Times New Roman" w:eastAsia="Times New Roman" w:hAnsi="Times New Roman" w:cs="Times New Roman"/>
      <w:kern w:val="1"/>
      <w:sz w:val="16"/>
      <w:szCs w:val="16"/>
      <w:lang w:eastAsia="ar-SA"/>
    </w:rPr>
  </w:style>
  <w:style w:type="character" w:customStyle="1" w:styleId="30">
    <w:name w:val="Основной текст 3 Знак"/>
    <w:basedOn w:val="a0"/>
    <w:link w:val="3"/>
    <w:uiPriority w:val="99"/>
    <w:rPr>
      <w:rFonts w:ascii="Times New Roman" w:eastAsia="Times New Roman" w:hAnsi="Times New Roman" w:cs="Times New Roman"/>
      <w:kern w:val="1"/>
      <w:sz w:val="16"/>
      <w:szCs w:val="16"/>
      <w:lang w:eastAsia="ar-SA"/>
    </w:rPr>
  </w:style>
  <w:style w:type="paragraph" w:styleId="af1">
    <w:name w:val="List Paragraph"/>
    <w:basedOn w:val="a"/>
    <w:uiPriority w:val="34"/>
    <w:qFormat/>
    <w:pPr>
      <w:ind w:left="720"/>
      <w:contextualSpacing/>
    </w:pPr>
  </w:style>
  <w:style w:type="paragraph" w:styleId="af2">
    <w:name w:val="Body Text"/>
    <w:basedOn w:val="a"/>
    <w:link w:val="af3"/>
    <w:uiPriority w:val="99"/>
    <w:semiHidden/>
    <w:unhideWhenUsed/>
    <w:pPr>
      <w:spacing w:after="120"/>
    </w:pPr>
  </w:style>
  <w:style w:type="character" w:customStyle="1" w:styleId="af3">
    <w:name w:val="Основной текст Знак"/>
    <w:basedOn w:val="a0"/>
    <w:link w:val="af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Абрамова Наталья Александровна</cp:lastModifiedBy>
  <cp:revision>54</cp:revision>
  <dcterms:created xsi:type="dcterms:W3CDTF">2022-06-24T08:09:00Z</dcterms:created>
  <dcterms:modified xsi:type="dcterms:W3CDTF">2023-11-14T06:21:00Z</dcterms:modified>
</cp:coreProperties>
</file>