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3AE3" w:rsidRPr="00101F8C" w:rsidRDefault="002D3AE3" w:rsidP="00101F8C">
      <w:pPr>
        <w:keepLines/>
        <w:widowControl w:val="0"/>
        <w:jc w:val="center"/>
        <w:rPr>
          <w:b/>
        </w:rPr>
      </w:pPr>
      <w:r w:rsidRPr="00101F8C">
        <w:rPr>
          <w:b/>
        </w:rPr>
        <w:t>Техническое задание (описание объекта закупки и условия исполнения государственного контракта)</w:t>
      </w:r>
    </w:p>
    <w:p w:rsidR="002D3AE3" w:rsidRDefault="002D3AE3" w:rsidP="00101F8C">
      <w:pPr>
        <w:keepLines/>
        <w:widowControl w:val="0"/>
        <w:jc w:val="center"/>
        <w:rPr>
          <w:b/>
        </w:rPr>
      </w:pPr>
    </w:p>
    <w:p w:rsidR="00FF6EC4" w:rsidRPr="00FF6EC4" w:rsidRDefault="00FF6EC4" w:rsidP="00FF6EC4">
      <w:pPr>
        <w:keepLines/>
        <w:widowControl w:val="0"/>
        <w:jc w:val="center"/>
        <w:rPr>
          <w:b/>
          <w:bCs/>
        </w:rPr>
      </w:pPr>
      <w:r w:rsidRPr="00FF6EC4">
        <w:rPr>
          <w:b/>
          <w:bCs/>
        </w:rPr>
        <w:t>Выполнение работ по обеспечению инвалидов Краснодарского края протезами нижних конечностей (голени) в 2022 году</w:t>
      </w:r>
    </w:p>
    <w:p w:rsidR="00420F97" w:rsidRPr="003D4910" w:rsidRDefault="00420F97" w:rsidP="003D4910">
      <w:pPr>
        <w:keepLines/>
        <w:widowControl w:val="0"/>
        <w:jc w:val="center"/>
      </w:pPr>
    </w:p>
    <w:tbl>
      <w:tblPr>
        <w:tblStyle w:val="a8"/>
        <w:tblW w:w="5000" w:type="pct"/>
        <w:tblLayout w:type="fixed"/>
        <w:tblLook w:val="04A0" w:firstRow="1" w:lastRow="0" w:firstColumn="1" w:lastColumn="0" w:noHBand="0" w:noVBand="1"/>
      </w:tblPr>
      <w:tblGrid>
        <w:gridCol w:w="538"/>
        <w:gridCol w:w="3285"/>
        <w:gridCol w:w="5527"/>
        <w:gridCol w:w="1136"/>
        <w:gridCol w:w="1171"/>
        <w:gridCol w:w="1427"/>
        <w:gridCol w:w="1476"/>
      </w:tblGrid>
      <w:tr w:rsidR="00FF6EC4" w:rsidRPr="00FF6EC4" w:rsidTr="00FF6EC4">
        <w:tc>
          <w:tcPr>
            <w:tcW w:w="185" w:type="pct"/>
          </w:tcPr>
          <w:p w:rsidR="00FF6EC4" w:rsidRPr="00FF6EC4" w:rsidRDefault="00FF6EC4" w:rsidP="00FF6EC4">
            <w:pPr>
              <w:keepLines/>
              <w:widowControl w:val="0"/>
              <w:jc w:val="both"/>
            </w:pPr>
            <w:r w:rsidRPr="00FF6EC4">
              <w:t>№ п/п</w:t>
            </w:r>
          </w:p>
        </w:tc>
        <w:tc>
          <w:tcPr>
            <w:tcW w:w="1128" w:type="pct"/>
          </w:tcPr>
          <w:p w:rsidR="00FF6EC4" w:rsidRPr="00FF6EC4" w:rsidRDefault="00FF6EC4" w:rsidP="00FF6EC4">
            <w:pPr>
              <w:keepLines/>
              <w:widowControl w:val="0"/>
              <w:jc w:val="both"/>
            </w:pPr>
            <w:r w:rsidRPr="00FF6EC4">
              <w:t>Наименование товара, работ, услуг</w:t>
            </w:r>
          </w:p>
        </w:tc>
        <w:tc>
          <w:tcPr>
            <w:tcW w:w="1898" w:type="pct"/>
          </w:tcPr>
          <w:p w:rsidR="00FF6EC4" w:rsidRPr="00FF6EC4" w:rsidRDefault="00FF6EC4" w:rsidP="00FF6EC4">
            <w:pPr>
              <w:keepLines/>
              <w:widowControl w:val="0"/>
              <w:jc w:val="both"/>
            </w:pPr>
            <w:r w:rsidRPr="00FF6EC4">
              <w:t>Описание объекта закупки</w:t>
            </w:r>
          </w:p>
        </w:tc>
        <w:tc>
          <w:tcPr>
            <w:tcW w:w="390" w:type="pct"/>
          </w:tcPr>
          <w:p w:rsidR="00FF6EC4" w:rsidRPr="00FF6EC4" w:rsidRDefault="00FF6EC4" w:rsidP="00FF6EC4">
            <w:pPr>
              <w:keepLines/>
              <w:widowControl w:val="0"/>
              <w:jc w:val="both"/>
            </w:pPr>
            <w:r w:rsidRPr="00FF6EC4">
              <w:t>Кол-во (объем)</w:t>
            </w:r>
          </w:p>
        </w:tc>
        <w:tc>
          <w:tcPr>
            <w:tcW w:w="402" w:type="pct"/>
          </w:tcPr>
          <w:p w:rsidR="00FF6EC4" w:rsidRPr="00FF6EC4" w:rsidRDefault="00FF6EC4" w:rsidP="00FF6EC4">
            <w:pPr>
              <w:keepLines/>
              <w:widowControl w:val="0"/>
              <w:jc w:val="both"/>
            </w:pPr>
            <w:r w:rsidRPr="00FF6EC4">
              <w:t>Ед. изм.</w:t>
            </w:r>
          </w:p>
        </w:tc>
        <w:tc>
          <w:tcPr>
            <w:tcW w:w="490" w:type="pct"/>
          </w:tcPr>
          <w:p w:rsidR="00FF6EC4" w:rsidRPr="00FF6EC4" w:rsidRDefault="00FF6EC4" w:rsidP="00FF6EC4">
            <w:pPr>
              <w:keepLines/>
              <w:widowControl w:val="0"/>
              <w:jc w:val="both"/>
            </w:pPr>
            <w:r w:rsidRPr="00FF6EC4">
              <w:t>Цена за ед. изм.</w:t>
            </w:r>
            <w:r w:rsidRPr="00FF6EC4">
              <w:rPr>
                <w:vertAlign w:val="superscript"/>
              </w:rPr>
              <w:footnoteReference w:id="1"/>
            </w:r>
            <w:r w:rsidRPr="00FF6EC4">
              <w:t>, руб.</w:t>
            </w:r>
          </w:p>
        </w:tc>
        <w:tc>
          <w:tcPr>
            <w:tcW w:w="507" w:type="pct"/>
          </w:tcPr>
          <w:p w:rsidR="00FF6EC4" w:rsidRPr="00FF6EC4" w:rsidRDefault="00FF6EC4" w:rsidP="00FF6EC4">
            <w:pPr>
              <w:keepLines/>
              <w:widowControl w:val="0"/>
              <w:jc w:val="both"/>
            </w:pPr>
            <w:r w:rsidRPr="00FF6EC4">
              <w:t>Цена по позиции</w:t>
            </w:r>
            <w:r w:rsidRPr="00FF6EC4">
              <w:rPr>
                <w:vertAlign w:val="superscript"/>
              </w:rPr>
              <w:footnoteReference w:id="2"/>
            </w:r>
            <w:r w:rsidRPr="00FF6EC4">
              <w:t>, руб.</w:t>
            </w:r>
          </w:p>
        </w:tc>
      </w:tr>
      <w:tr w:rsidR="00FF6EC4" w:rsidRPr="00FF6EC4" w:rsidTr="00FF6EC4">
        <w:tc>
          <w:tcPr>
            <w:tcW w:w="185" w:type="pct"/>
          </w:tcPr>
          <w:p w:rsidR="00FF6EC4" w:rsidRPr="00FF6EC4" w:rsidRDefault="00FF6EC4" w:rsidP="00FF6EC4">
            <w:pPr>
              <w:keepLines/>
              <w:widowControl w:val="0"/>
            </w:pPr>
            <w:r w:rsidRPr="00FF6EC4">
              <w:t>1.</w:t>
            </w:r>
          </w:p>
        </w:tc>
        <w:tc>
          <w:tcPr>
            <w:tcW w:w="1128" w:type="pct"/>
          </w:tcPr>
          <w:p w:rsidR="00FF6EC4" w:rsidRPr="00FF6EC4" w:rsidRDefault="00FF6EC4" w:rsidP="00FF6EC4">
            <w:pPr>
              <w:keepLines/>
              <w:widowControl w:val="0"/>
              <w:jc w:val="both"/>
            </w:pPr>
            <w:r w:rsidRPr="00FF6EC4">
              <w:rPr>
                <w:color w:val="000000"/>
                <w:lang w:eastAsia="ru-RU"/>
              </w:rPr>
              <w:t>Протез голени модульный, в том числе при недоразвитии</w:t>
            </w:r>
          </w:p>
        </w:tc>
        <w:tc>
          <w:tcPr>
            <w:tcW w:w="1898" w:type="pct"/>
            <w:vAlign w:val="center"/>
          </w:tcPr>
          <w:p w:rsidR="00FF6EC4" w:rsidRPr="00FF6EC4" w:rsidRDefault="00FF6EC4" w:rsidP="00FF6EC4">
            <w:pPr>
              <w:contextualSpacing/>
              <w:jc w:val="both"/>
              <w:rPr>
                <w:color w:val="000000"/>
                <w:lang w:eastAsia="ru-RU"/>
              </w:rPr>
            </w:pPr>
            <w:r w:rsidRPr="00FF6EC4">
              <w:rPr>
                <w:color w:val="000000"/>
                <w:lang w:eastAsia="ru-RU"/>
              </w:rPr>
              <w:t>Протез голени модульный должен быть:</w:t>
            </w:r>
          </w:p>
          <w:p w:rsidR="00FF6EC4" w:rsidRPr="00FF6EC4" w:rsidRDefault="00FF6EC4" w:rsidP="00FF6EC4">
            <w:pPr>
              <w:contextualSpacing/>
              <w:jc w:val="both"/>
              <w:rPr>
                <w:color w:val="000000"/>
                <w:lang w:eastAsia="ru-RU"/>
              </w:rPr>
            </w:pPr>
            <w:r w:rsidRPr="00FF6EC4">
              <w:rPr>
                <w:color w:val="000000"/>
                <w:lang w:eastAsia="ru-RU"/>
              </w:rPr>
              <w:t xml:space="preserve">облицовка мягкая полиуретановая (поролон), покрытие облицовки должен быть чулки </w:t>
            </w:r>
            <w:proofErr w:type="spellStart"/>
            <w:r w:rsidRPr="00FF6EC4">
              <w:rPr>
                <w:color w:val="000000"/>
                <w:lang w:eastAsia="ru-RU"/>
              </w:rPr>
              <w:t>перлоновые</w:t>
            </w:r>
            <w:proofErr w:type="spellEnd"/>
            <w:r w:rsidRPr="00FF6EC4">
              <w:rPr>
                <w:color w:val="000000"/>
                <w:lang w:eastAsia="ru-RU"/>
              </w:rPr>
              <w:t xml:space="preserve"> ортопедические; </w:t>
            </w:r>
          </w:p>
          <w:p w:rsidR="00FF6EC4" w:rsidRPr="00FF6EC4" w:rsidRDefault="00FF6EC4" w:rsidP="00FF6EC4">
            <w:pPr>
              <w:contextualSpacing/>
              <w:jc w:val="both"/>
              <w:rPr>
                <w:color w:val="000000"/>
                <w:lang w:eastAsia="ru-RU"/>
              </w:rPr>
            </w:pPr>
            <w:r w:rsidRPr="00FF6EC4">
              <w:rPr>
                <w:color w:val="000000"/>
                <w:lang w:eastAsia="ru-RU"/>
              </w:rPr>
              <w:t xml:space="preserve">гильза индивидуального, изготовления по индивидуальному слепку с культи инвалида; количество приемных (пробных) гильз должно быть 1; постоянная гильза должна быть из литьевого слоистого пластика на основе акриловых смол; вкладная гильза должна быть из листового термопласта, чехол должен быть полимерный </w:t>
            </w:r>
            <w:proofErr w:type="spellStart"/>
            <w:r w:rsidRPr="00FF6EC4">
              <w:rPr>
                <w:color w:val="000000"/>
                <w:lang w:eastAsia="ru-RU"/>
              </w:rPr>
              <w:t>гелевый</w:t>
            </w:r>
            <w:proofErr w:type="spellEnd"/>
            <w:r w:rsidRPr="00FF6EC4">
              <w:rPr>
                <w:color w:val="000000"/>
                <w:lang w:eastAsia="ru-RU"/>
              </w:rPr>
              <w:t xml:space="preserve"> с высоким уровнем стабилизации; </w:t>
            </w:r>
          </w:p>
          <w:p w:rsidR="00FF6EC4" w:rsidRPr="00FF6EC4" w:rsidRDefault="00FF6EC4" w:rsidP="00FF6EC4">
            <w:pPr>
              <w:contextualSpacing/>
              <w:jc w:val="both"/>
              <w:rPr>
                <w:color w:val="000000"/>
                <w:lang w:eastAsia="ru-RU"/>
              </w:rPr>
            </w:pPr>
            <w:r w:rsidRPr="00FF6EC4">
              <w:rPr>
                <w:color w:val="000000"/>
                <w:lang w:eastAsia="ru-RU"/>
              </w:rPr>
              <w:t xml:space="preserve">крепления протеза голени на инвалиде должно быть с использованием вакуумной системы для полимерных чехлов, позволяющая создать отрицательное давление в </w:t>
            </w:r>
            <w:proofErr w:type="spellStart"/>
            <w:r w:rsidRPr="00FF6EC4">
              <w:rPr>
                <w:color w:val="000000"/>
                <w:lang w:eastAsia="ru-RU"/>
              </w:rPr>
              <w:t>культеприемной</w:t>
            </w:r>
            <w:proofErr w:type="spellEnd"/>
            <w:r w:rsidRPr="00FF6EC4">
              <w:rPr>
                <w:color w:val="000000"/>
                <w:lang w:eastAsia="ru-RU"/>
              </w:rPr>
              <w:t xml:space="preserve"> гильзе от 0,5 до 0,7 </w:t>
            </w:r>
            <w:proofErr w:type="spellStart"/>
            <w:r w:rsidRPr="00FF6EC4">
              <w:rPr>
                <w:color w:val="000000"/>
                <w:lang w:eastAsia="ru-RU"/>
              </w:rPr>
              <w:t>мБарр</w:t>
            </w:r>
            <w:proofErr w:type="spellEnd"/>
            <w:r w:rsidRPr="00FF6EC4">
              <w:rPr>
                <w:color w:val="000000"/>
                <w:lang w:eastAsia="ru-RU"/>
              </w:rPr>
              <w:t xml:space="preserve">, полимерного </w:t>
            </w:r>
            <w:proofErr w:type="spellStart"/>
            <w:r w:rsidRPr="00FF6EC4">
              <w:rPr>
                <w:color w:val="000000"/>
                <w:lang w:eastAsia="ru-RU"/>
              </w:rPr>
              <w:t>гелевого</w:t>
            </w:r>
            <w:proofErr w:type="spellEnd"/>
            <w:r w:rsidRPr="00FF6EC4">
              <w:rPr>
                <w:color w:val="000000"/>
                <w:lang w:eastAsia="ru-RU"/>
              </w:rPr>
              <w:t xml:space="preserve"> наколенника; </w:t>
            </w:r>
          </w:p>
          <w:p w:rsidR="00FF6EC4" w:rsidRPr="00FF6EC4" w:rsidRDefault="00FF6EC4" w:rsidP="00FF6EC4">
            <w:pPr>
              <w:contextualSpacing/>
              <w:jc w:val="both"/>
              <w:rPr>
                <w:color w:val="000000"/>
                <w:lang w:eastAsia="ru-RU"/>
              </w:rPr>
            </w:pPr>
            <w:r w:rsidRPr="00FF6EC4">
              <w:rPr>
                <w:color w:val="000000"/>
                <w:lang w:eastAsia="ru-RU"/>
              </w:rPr>
              <w:t xml:space="preserve">регулировочно-соединительные устройства должны соответствовать весу инвалида на нагрузку от 75 до 100 кг; </w:t>
            </w:r>
          </w:p>
          <w:p w:rsidR="00FF6EC4" w:rsidRPr="00FF6EC4" w:rsidRDefault="00FF6EC4" w:rsidP="00FF6EC4">
            <w:pPr>
              <w:contextualSpacing/>
              <w:jc w:val="both"/>
              <w:rPr>
                <w:color w:val="000000"/>
                <w:lang w:eastAsia="ru-RU"/>
              </w:rPr>
            </w:pPr>
            <w:r w:rsidRPr="00FF6EC4">
              <w:rPr>
                <w:color w:val="000000"/>
                <w:lang w:eastAsia="ru-RU"/>
              </w:rPr>
              <w:t>стопа должна быть с высокой степенью энергосбережения и расщепленным носком; тип протеза по назначению должен быть: постоянный.</w:t>
            </w:r>
            <w:bookmarkStart w:id="0" w:name="_GoBack"/>
            <w:bookmarkEnd w:id="0"/>
          </w:p>
        </w:tc>
        <w:tc>
          <w:tcPr>
            <w:tcW w:w="390" w:type="pct"/>
          </w:tcPr>
          <w:p w:rsidR="00FF6EC4" w:rsidRPr="00FF6EC4" w:rsidRDefault="00FF6EC4" w:rsidP="00FF6EC4">
            <w:pPr>
              <w:keepLines/>
              <w:widowControl w:val="0"/>
              <w:jc w:val="both"/>
            </w:pPr>
            <w:r w:rsidRPr="00FF6EC4">
              <w:t>1</w:t>
            </w:r>
          </w:p>
        </w:tc>
        <w:tc>
          <w:tcPr>
            <w:tcW w:w="402" w:type="pct"/>
          </w:tcPr>
          <w:p w:rsidR="00FF6EC4" w:rsidRPr="00FF6EC4" w:rsidRDefault="00FF6EC4" w:rsidP="00FF6EC4">
            <w:pPr>
              <w:keepLines/>
              <w:widowControl w:val="0"/>
              <w:jc w:val="both"/>
            </w:pPr>
            <w:r w:rsidRPr="00FF6EC4">
              <w:t>штука</w:t>
            </w:r>
          </w:p>
        </w:tc>
        <w:tc>
          <w:tcPr>
            <w:tcW w:w="490" w:type="pct"/>
          </w:tcPr>
          <w:p w:rsidR="00FF6EC4" w:rsidRPr="00FF6EC4" w:rsidRDefault="00FF6EC4" w:rsidP="00FF6EC4">
            <w:pPr>
              <w:keepLines/>
              <w:widowControl w:val="0"/>
              <w:jc w:val="both"/>
            </w:pPr>
            <w:r w:rsidRPr="00FF6EC4">
              <w:t>687 056,13</w:t>
            </w:r>
          </w:p>
        </w:tc>
        <w:tc>
          <w:tcPr>
            <w:tcW w:w="507" w:type="pct"/>
          </w:tcPr>
          <w:p w:rsidR="00FF6EC4" w:rsidRPr="00FF6EC4" w:rsidRDefault="00FF6EC4" w:rsidP="00FF6EC4">
            <w:pPr>
              <w:keepLines/>
              <w:widowControl w:val="0"/>
              <w:jc w:val="both"/>
            </w:pPr>
            <w:r w:rsidRPr="00FF6EC4">
              <w:t>687 056,13</w:t>
            </w:r>
          </w:p>
        </w:tc>
      </w:tr>
      <w:tr w:rsidR="00FF6EC4" w:rsidRPr="00FF6EC4" w:rsidTr="00FF6EC4">
        <w:tc>
          <w:tcPr>
            <w:tcW w:w="185" w:type="pct"/>
          </w:tcPr>
          <w:p w:rsidR="00FF6EC4" w:rsidRPr="00FF6EC4" w:rsidRDefault="00FF6EC4" w:rsidP="00FF6EC4">
            <w:pPr>
              <w:keepLines/>
              <w:widowControl w:val="0"/>
            </w:pPr>
            <w:r w:rsidRPr="00FF6EC4">
              <w:t>2.</w:t>
            </w:r>
          </w:p>
        </w:tc>
        <w:tc>
          <w:tcPr>
            <w:tcW w:w="1128" w:type="pct"/>
          </w:tcPr>
          <w:p w:rsidR="00FF6EC4" w:rsidRPr="00FF6EC4" w:rsidRDefault="00FF6EC4" w:rsidP="00FF6EC4">
            <w:pPr>
              <w:keepLines/>
              <w:widowControl w:val="0"/>
              <w:jc w:val="both"/>
            </w:pPr>
            <w:r w:rsidRPr="00FF6EC4">
              <w:rPr>
                <w:color w:val="000000"/>
                <w:lang w:eastAsia="ru-RU"/>
              </w:rPr>
              <w:t>Протез голени модульный, в том числе при недоразвитии</w:t>
            </w:r>
          </w:p>
        </w:tc>
        <w:tc>
          <w:tcPr>
            <w:tcW w:w="1898" w:type="pct"/>
            <w:vAlign w:val="center"/>
          </w:tcPr>
          <w:p w:rsidR="00FF6EC4" w:rsidRPr="00FF6EC4" w:rsidRDefault="00FF6EC4" w:rsidP="00FF6EC4">
            <w:pPr>
              <w:contextualSpacing/>
              <w:jc w:val="both"/>
              <w:rPr>
                <w:color w:val="000000"/>
                <w:lang w:eastAsia="ru-RU"/>
              </w:rPr>
            </w:pPr>
            <w:r w:rsidRPr="00FF6EC4">
              <w:rPr>
                <w:color w:val="000000"/>
                <w:lang w:eastAsia="ru-RU"/>
              </w:rPr>
              <w:t>Протез голени модульный должен быть:</w:t>
            </w:r>
          </w:p>
          <w:p w:rsidR="00FF6EC4" w:rsidRPr="00FF6EC4" w:rsidRDefault="00FF6EC4" w:rsidP="00FF6EC4">
            <w:pPr>
              <w:jc w:val="both"/>
              <w:rPr>
                <w:color w:val="000000"/>
                <w:lang w:eastAsia="ru-RU"/>
              </w:rPr>
            </w:pPr>
            <w:r w:rsidRPr="00FF6EC4">
              <w:rPr>
                <w:color w:val="000000"/>
                <w:lang w:eastAsia="ru-RU"/>
              </w:rPr>
              <w:t xml:space="preserve">облицовка должна быть мягкая полиуретановая (поролон), покрытие облицовки чулки </w:t>
            </w:r>
            <w:proofErr w:type="spellStart"/>
            <w:r w:rsidRPr="00FF6EC4">
              <w:rPr>
                <w:color w:val="000000"/>
                <w:lang w:eastAsia="ru-RU"/>
              </w:rPr>
              <w:t>перлоновые</w:t>
            </w:r>
            <w:proofErr w:type="spellEnd"/>
            <w:r w:rsidRPr="00FF6EC4">
              <w:rPr>
                <w:color w:val="000000"/>
                <w:lang w:eastAsia="ru-RU"/>
              </w:rPr>
              <w:t xml:space="preserve"> ортопедические; гильза индивидуального </w:t>
            </w:r>
            <w:r w:rsidRPr="00FF6EC4">
              <w:rPr>
                <w:color w:val="000000"/>
                <w:lang w:eastAsia="ru-RU"/>
              </w:rPr>
              <w:lastRenderedPageBreak/>
              <w:t xml:space="preserve">изготовления по индивидуальному слепку с культи инвалида; количество приемных (пробных) гильз </w:t>
            </w:r>
            <w:proofErr w:type="spellStart"/>
            <w:r w:rsidRPr="00FF6EC4">
              <w:rPr>
                <w:color w:val="000000"/>
                <w:lang w:eastAsia="ru-RU"/>
              </w:rPr>
              <w:t>должо</w:t>
            </w:r>
            <w:proofErr w:type="spellEnd"/>
            <w:r w:rsidRPr="00FF6EC4">
              <w:rPr>
                <w:color w:val="000000"/>
                <w:lang w:eastAsia="ru-RU"/>
              </w:rPr>
              <w:t xml:space="preserve"> быть 1; постоянная гильза должна быть из литьевого слоистого пластика на основе акриловых смол; вкладная гильза должна быть из вспененных материалов; </w:t>
            </w:r>
          </w:p>
          <w:p w:rsidR="00FF6EC4" w:rsidRPr="00FF6EC4" w:rsidRDefault="00FF6EC4" w:rsidP="00FF6EC4">
            <w:pPr>
              <w:jc w:val="both"/>
              <w:rPr>
                <w:color w:val="000000"/>
                <w:lang w:eastAsia="ru-RU"/>
              </w:rPr>
            </w:pPr>
            <w:r w:rsidRPr="00FF6EC4">
              <w:rPr>
                <w:color w:val="000000"/>
                <w:lang w:eastAsia="ru-RU"/>
              </w:rPr>
              <w:t xml:space="preserve">крепления протеза голени на инвалиде должно быть с использованием наколенника; регулировочно-соединительные устройства на нагрузку от 75 до 100 кг; </w:t>
            </w:r>
          </w:p>
          <w:p w:rsidR="00FF6EC4" w:rsidRPr="00FF6EC4" w:rsidRDefault="00FF6EC4" w:rsidP="00FF6EC4">
            <w:pPr>
              <w:jc w:val="both"/>
              <w:rPr>
                <w:color w:val="000000"/>
                <w:lang w:eastAsia="ru-RU"/>
              </w:rPr>
            </w:pPr>
            <w:r w:rsidRPr="00FF6EC4">
              <w:rPr>
                <w:color w:val="000000"/>
                <w:lang w:eastAsia="ru-RU"/>
              </w:rPr>
              <w:t xml:space="preserve">стопа должна быть с высокой степенью энергосбережения, низкопрофильная, на основе карбонового волокна с разделенной передней частью для улучшения сцепления с поверхностью. </w:t>
            </w:r>
          </w:p>
          <w:p w:rsidR="00FF6EC4" w:rsidRPr="00FF6EC4" w:rsidRDefault="00FF6EC4" w:rsidP="00FF6EC4"/>
        </w:tc>
        <w:tc>
          <w:tcPr>
            <w:tcW w:w="390" w:type="pct"/>
          </w:tcPr>
          <w:p w:rsidR="00FF6EC4" w:rsidRPr="00FF6EC4" w:rsidRDefault="00FF6EC4" w:rsidP="00FF6EC4">
            <w:pPr>
              <w:keepLines/>
              <w:widowControl w:val="0"/>
              <w:jc w:val="both"/>
            </w:pPr>
            <w:r w:rsidRPr="00FF6EC4">
              <w:lastRenderedPageBreak/>
              <w:t>1</w:t>
            </w:r>
          </w:p>
        </w:tc>
        <w:tc>
          <w:tcPr>
            <w:tcW w:w="402" w:type="pct"/>
          </w:tcPr>
          <w:p w:rsidR="00FF6EC4" w:rsidRPr="00FF6EC4" w:rsidRDefault="00FF6EC4" w:rsidP="00FF6EC4">
            <w:pPr>
              <w:keepLines/>
              <w:widowControl w:val="0"/>
              <w:jc w:val="both"/>
            </w:pPr>
            <w:r w:rsidRPr="00FF6EC4">
              <w:t>штука</w:t>
            </w:r>
          </w:p>
        </w:tc>
        <w:tc>
          <w:tcPr>
            <w:tcW w:w="490" w:type="pct"/>
          </w:tcPr>
          <w:p w:rsidR="00FF6EC4" w:rsidRPr="00FF6EC4" w:rsidRDefault="00FF6EC4" w:rsidP="00FF6EC4">
            <w:pPr>
              <w:keepLines/>
              <w:widowControl w:val="0"/>
              <w:jc w:val="both"/>
            </w:pPr>
            <w:r w:rsidRPr="00FF6EC4">
              <w:t>356 049,80</w:t>
            </w:r>
          </w:p>
        </w:tc>
        <w:tc>
          <w:tcPr>
            <w:tcW w:w="507" w:type="pct"/>
          </w:tcPr>
          <w:p w:rsidR="00FF6EC4" w:rsidRPr="00FF6EC4" w:rsidRDefault="00FF6EC4" w:rsidP="00FF6EC4">
            <w:pPr>
              <w:keepLines/>
              <w:widowControl w:val="0"/>
              <w:jc w:val="both"/>
            </w:pPr>
            <w:r w:rsidRPr="00FF6EC4">
              <w:t>356 049,80</w:t>
            </w:r>
          </w:p>
        </w:tc>
      </w:tr>
      <w:tr w:rsidR="00FF6EC4" w:rsidRPr="00FF6EC4" w:rsidTr="00FF6EC4">
        <w:tc>
          <w:tcPr>
            <w:tcW w:w="185" w:type="pct"/>
          </w:tcPr>
          <w:p w:rsidR="00FF6EC4" w:rsidRPr="00FF6EC4" w:rsidRDefault="00FF6EC4" w:rsidP="00FF6EC4">
            <w:pPr>
              <w:keepLines/>
              <w:widowControl w:val="0"/>
            </w:pPr>
            <w:r w:rsidRPr="00FF6EC4">
              <w:t>3.</w:t>
            </w:r>
          </w:p>
        </w:tc>
        <w:tc>
          <w:tcPr>
            <w:tcW w:w="1128" w:type="pct"/>
          </w:tcPr>
          <w:p w:rsidR="00FF6EC4" w:rsidRPr="00FF6EC4" w:rsidRDefault="00FF6EC4" w:rsidP="00FF6EC4">
            <w:pPr>
              <w:keepLines/>
              <w:widowControl w:val="0"/>
              <w:jc w:val="both"/>
            </w:pPr>
            <w:r w:rsidRPr="00FF6EC4">
              <w:rPr>
                <w:color w:val="000000"/>
                <w:lang w:eastAsia="ru-RU"/>
              </w:rPr>
              <w:t>Протез голени модульный, в том числе при недоразвитии</w:t>
            </w:r>
          </w:p>
        </w:tc>
        <w:tc>
          <w:tcPr>
            <w:tcW w:w="1898" w:type="pct"/>
            <w:vAlign w:val="center"/>
          </w:tcPr>
          <w:p w:rsidR="00FF6EC4" w:rsidRPr="00FF6EC4" w:rsidRDefault="00FF6EC4" w:rsidP="00FF6EC4">
            <w:pPr>
              <w:spacing w:after="160" w:line="259" w:lineRule="auto"/>
              <w:contextualSpacing/>
              <w:jc w:val="both"/>
              <w:rPr>
                <w:color w:val="000000"/>
                <w:lang w:eastAsia="ru-RU"/>
              </w:rPr>
            </w:pPr>
            <w:r w:rsidRPr="00FF6EC4">
              <w:rPr>
                <w:color w:val="000000"/>
                <w:lang w:eastAsia="ru-RU"/>
              </w:rPr>
              <w:t>Протез голени модульный должен быть:</w:t>
            </w:r>
          </w:p>
          <w:p w:rsidR="00FF6EC4" w:rsidRPr="00FF6EC4" w:rsidRDefault="00FF6EC4" w:rsidP="00FF6EC4">
            <w:pPr>
              <w:spacing w:after="160" w:line="259" w:lineRule="auto"/>
              <w:contextualSpacing/>
              <w:jc w:val="both"/>
              <w:rPr>
                <w:color w:val="000000"/>
                <w:lang w:eastAsia="ru-RU"/>
              </w:rPr>
            </w:pPr>
            <w:r w:rsidRPr="00FF6EC4">
              <w:rPr>
                <w:color w:val="000000"/>
                <w:lang w:eastAsia="ru-RU"/>
              </w:rPr>
              <w:t xml:space="preserve">несущая приемная гильза из слоистого пластика, </w:t>
            </w:r>
          </w:p>
          <w:p w:rsidR="00FF6EC4" w:rsidRPr="00FF6EC4" w:rsidRDefault="00FF6EC4" w:rsidP="00FF6EC4">
            <w:pPr>
              <w:spacing w:after="160" w:line="259" w:lineRule="auto"/>
              <w:contextualSpacing/>
              <w:jc w:val="both"/>
              <w:rPr>
                <w:color w:val="000000"/>
                <w:lang w:eastAsia="ru-RU"/>
              </w:rPr>
            </w:pPr>
            <w:proofErr w:type="spellStart"/>
            <w:r w:rsidRPr="00FF6EC4">
              <w:rPr>
                <w:color w:val="000000"/>
                <w:lang w:eastAsia="ru-RU"/>
              </w:rPr>
              <w:t>углепластиковая</w:t>
            </w:r>
            <w:proofErr w:type="spellEnd"/>
            <w:r w:rsidRPr="00FF6EC4">
              <w:rPr>
                <w:color w:val="000000"/>
                <w:lang w:eastAsia="ru-RU"/>
              </w:rPr>
              <w:t xml:space="preserve"> стопа должна быть с высоким уровнем энергосбережения, с разделенной передней частью, адаптированная как для повседневного использования, так и для занятий спортом, с возможностью выбора косметической оболочки в зависимости от пола инвалида для инвалидов с повышенным и высоким уровнем двигательной активности. </w:t>
            </w:r>
          </w:p>
          <w:p w:rsidR="00FF6EC4" w:rsidRPr="00FF6EC4" w:rsidRDefault="00FF6EC4" w:rsidP="00FF6EC4">
            <w:pPr>
              <w:spacing w:after="160" w:line="259" w:lineRule="auto"/>
              <w:contextualSpacing/>
              <w:jc w:val="both"/>
              <w:rPr>
                <w:color w:val="000000"/>
                <w:lang w:eastAsia="ru-RU"/>
              </w:rPr>
            </w:pPr>
            <w:r w:rsidRPr="00FF6EC4">
              <w:rPr>
                <w:color w:val="000000"/>
                <w:lang w:eastAsia="ru-RU"/>
              </w:rPr>
              <w:t xml:space="preserve">Должен быть полимерный чехол. </w:t>
            </w:r>
          </w:p>
          <w:p w:rsidR="00FF6EC4" w:rsidRPr="00FF6EC4" w:rsidRDefault="00FF6EC4" w:rsidP="00FF6EC4">
            <w:pPr>
              <w:spacing w:after="160" w:line="259" w:lineRule="auto"/>
              <w:contextualSpacing/>
              <w:jc w:val="both"/>
              <w:rPr>
                <w:color w:val="000000"/>
                <w:lang w:eastAsia="ru-RU"/>
              </w:rPr>
            </w:pPr>
            <w:r w:rsidRPr="00FF6EC4">
              <w:rPr>
                <w:color w:val="000000"/>
                <w:lang w:eastAsia="ru-RU"/>
              </w:rPr>
              <w:t xml:space="preserve">Полуфабрикаты должны быть титан на нагрузку до 150 кг. </w:t>
            </w:r>
          </w:p>
          <w:p w:rsidR="00FF6EC4" w:rsidRPr="00FF6EC4" w:rsidRDefault="00FF6EC4" w:rsidP="00FF6EC4">
            <w:pPr>
              <w:spacing w:after="160" w:line="259" w:lineRule="auto"/>
              <w:contextualSpacing/>
              <w:jc w:val="both"/>
              <w:rPr>
                <w:color w:val="000000"/>
                <w:lang w:eastAsia="ru-RU"/>
              </w:rPr>
            </w:pPr>
            <w:r w:rsidRPr="00FF6EC4">
              <w:rPr>
                <w:color w:val="000000"/>
                <w:lang w:eastAsia="ru-RU"/>
              </w:rPr>
              <w:t xml:space="preserve">Чехлы должны быть махровые, чехлы </w:t>
            </w:r>
            <w:proofErr w:type="spellStart"/>
            <w:r w:rsidRPr="00FF6EC4">
              <w:rPr>
                <w:color w:val="000000"/>
                <w:lang w:eastAsia="ru-RU"/>
              </w:rPr>
              <w:t>перлоновые</w:t>
            </w:r>
            <w:proofErr w:type="spellEnd"/>
            <w:r w:rsidRPr="00FF6EC4">
              <w:rPr>
                <w:color w:val="000000"/>
                <w:lang w:eastAsia="ru-RU"/>
              </w:rPr>
              <w:t xml:space="preserve">. Косметическая облицовка должна быть модульная – </w:t>
            </w:r>
            <w:proofErr w:type="spellStart"/>
            <w:r w:rsidRPr="00FF6EC4">
              <w:rPr>
                <w:color w:val="000000"/>
                <w:lang w:eastAsia="ru-RU"/>
              </w:rPr>
              <w:t>пенополиуритан</w:t>
            </w:r>
            <w:proofErr w:type="spellEnd"/>
            <w:r w:rsidRPr="00FF6EC4">
              <w:rPr>
                <w:color w:val="000000"/>
                <w:lang w:eastAsia="ru-RU"/>
              </w:rPr>
              <w:t xml:space="preserve">. </w:t>
            </w:r>
          </w:p>
          <w:p w:rsidR="00FF6EC4" w:rsidRPr="00FF6EC4" w:rsidRDefault="00FF6EC4" w:rsidP="00FF6EC4">
            <w:pPr>
              <w:spacing w:after="160" w:line="259" w:lineRule="auto"/>
              <w:contextualSpacing/>
              <w:jc w:val="both"/>
              <w:rPr>
                <w:lang w:val="x-none"/>
              </w:rPr>
            </w:pPr>
            <w:r w:rsidRPr="00FF6EC4">
              <w:rPr>
                <w:color w:val="000000"/>
                <w:lang w:eastAsia="ru-RU"/>
              </w:rPr>
              <w:t xml:space="preserve">Крепление должно быть за счет замкового устройства для полимерных чехлов. </w:t>
            </w:r>
          </w:p>
        </w:tc>
        <w:tc>
          <w:tcPr>
            <w:tcW w:w="390" w:type="pct"/>
          </w:tcPr>
          <w:p w:rsidR="00FF6EC4" w:rsidRPr="00FF6EC4" w:rsidRDefault="00FF6EC4" w:rsidP="00FF6EC4">
            <w:pPr>
              <w:keepLines/>
              <w:widowControl w:val="0"/>
              <w:jc w:val="both"/>
            </w:pPr>
            <w:r w:rsidRPr="00FF6EC4">
              <w:t>1</w:t>
            </w:r>
          </w:p>
        </w:tc>
        <w:tc>
          <w:tcPr>
            <w:tcW w:w="402" w:type="pct"/>
          </w:tcPr>
          <w:p w:rsidR="00FF6EC4" w:rsidRPr="00FF6EC4" w:rsidRDefault="00FF6EC4" w:rsidP="00FF6EC4">
            <w:pPr>
              <w:keepLines/>
              <w:widowControl w:val="0"/>
              <w:jc w:val="both"/>
            </w:pPr>
            <w:r w:rsidRPr="00FF6EC4">
              <w:t>штука</w:t>
            </w:r>
          </w:p>
        </w:tc>
        <w:tc>
          <w:tcPr>
            <w:tcW w:w="490" w:type="pct"/>
          </w:tcPr>
          <w:p w:rsidR="00FF6EC4" w:rsidRPr="00FF6EC4" w:rsidRDefault="00FF6EC4" w:rsidP="00FF6EC4">
            <w:pPr>
              <w:keepLines/>
              <w:widowControl w:val="0"/>
              <w:jc w:val="both"/>
            </w:pPr>
            <w:r w:rsidRPr="00FF6EC4">
              <w:t>496 579,47</w:t>
            </w:r>
          </w:p>
        </w:tc>
        <w:tc>
          <w:tcPr>
            <w:tcW w:w="507" w:type="pct"/>
          </w:tcPr>
          <w:p w:rsidR="00FF6EC4" w:rsidRPr="00FF6EC4" w:rsidRDefault="00FF6EC4" w:rsidP="00FF6EC4">
            <w:pPr>
              <w:keepLines/>
              <w:widowControl w:val="0"/>
              <w:jc w:val="both"/>
            </w:pPr>
            <w:r w:rsidRPr="00FF6EC4">
              <w:t>496 579,47</w:t>
            </w:r>
          </w:p>
        </w:tc>
      </w:tr>
      <w:tr w:rsidR="00FF6EC4" w:rsidRPr="00FF6EC4" w:rsidTr="00FF6EC4">
        <w:tc>
          <w:tcPr>
            <w:tcW w:w="3601" w:type="pct"/>
            <w:gridSpan w:val="4"/>
          </w:tcPr>
          <w:p w:rsidR="00FF6EC4" w:rsidRPr="00FF6EC4" w:rsidRDefault="00FF6EC4" w:rsidP="00FF6EC4">
            <w:pPr>
              <w:keepLines/>
              <w:widowControl w:val="0"/>
              <w:jc w:val="both"/>
              <w:rPr>
                <w:b/>
              </w:rPr>
            </w:pPr>
            <w:r w:rsidRPr="00FF6EC4">
              <w:rPr>
                <w:b/>
              </w:rPr>
              <w:t>ИТОГО:</w:t>
            </w:r>
          </w:p>
        </w:tc>
        <w:tc>
          <w:tcPr>
            <w:tcW w:w="402" w:type="pct"/>
          </w:tcPr>
          <w:p w:rsidR="00FF6EC4" w:rsidRPr="00FF6EC4" w:rsidRDefault="00FF6EC4" w:rsidP="00FF6EC4">
            <w:pPr>
              <w:keepLines/>
              <w:widowControl w:val="0"/>
              <w:jc w:val="both"/>
              <w:rPr>
                <w:b/>
              </w:rPr>
            </w:pPr>
            <w:r w:rsidRPr="00FF6EC4">
              <w:rPr>
                <w:b/>
              </w:rPr>
              <w:t>3</w:t>
            </w:r>
          </w:p>
        </w:tc>
        <w:tc>
          <w:tcPr>
            <w:tcW w:w="490" w:type="pct"/>
          </w:tcPr>
          <w:p w:rsidR="00FF6EC4" w:rsidRPr="00FF6EC4" w:rsidRDefault="00FF6EC4" w:rsidP="00FF6EC4">
            <w:pPr>
              <w:keepLines/>
              <w:widowControl w:val="0"/>
              <w:jc w:val="both"/>
              <w:rPr>
                <w:b/>
              </w:rPr>
            </w:pPr>
          </w:p>
        </w:tc>
        <w:tc>
          <w:tcPr>
            <w:tcW w:w="507" w:type="pct"/>
          </w:tcPr>
          <w:p w:rsidR="00FF6EC4" w:rsidRPr="00FF6EC4" w:rsidRDefault="00FF6EC4" w:rsidP="00FF6EC4">
            <w:pPr>
              <w:keepLines/>
              <w:widowControl w:val="0"/>
              <w:jc w:val="both"/>
              <w:rPr>
                <w:b/>
              </w:rPr>
            </w:pPr>
            <w:r w:rsidRPr="00FF6EC4">
              <w:rPr>
                <w:b/>
              </w:rPr>
              <w:t>1 539 685,40</w:t>
            </w:r>
          </w:p>
        </w:tc>
      </w:tr>
    </w:tbl>
    <w:p w:rsidR="00FF6EC4" w:rsidRPr="00FF6EC4" w:rsidRDefault="00FF6EC4" w:rsidP="00FF6EC4">
      <w:pPr>
        <w:keepLines/>
        <w:widowControl w:val="0"/>
        <w:tabs>
          <w:tab w:val="left" w:pos="5865"/>
        </w:tabs>
        <w:jc w:val="center"/>
      </w:pPr>
    </w:p>
    <w:p w:rsidR="00FF6EC4" w:rsidRPr="00FF6EC4" w:rsidRDefault="00FF6EC4" w:rsidP="00FF6EC4">
      <w:pPr>
        <w:ind w:firstLine="567"/>
        <w:jc w:val="both"/>
      </w:pPr>
      <w:r w:rsidRPr="00FF6EC4">
        <w:lastRenderedPageBreak/>
        <w:t xml:space="preserve">В соответствии с приказом Минтруда России от 05.03.2021 № 107н «Об утверждении сроков пользования техническими средствами реабилитации, протезами и </w:t>
      </w:r>
      <w:proofErr w:type="spellStart"/>
      <w:r w:rsidRPr="00FF6EC4">
        <w:t>протезно</w:t>
      </w:r>
      <w:proofErr w:type="spellEnd"/>
      <w:r w:rsidRPr="00FF6EC4">
        <w:t xml:space="preserve"> – ортопедическими изделиями до их замены» срок пользования техническими средствами реабилитации, протезом и протезно-ортопедическим изделием (далее ТСР) исчисляется с даты предоставления его инвалиду.</w:t>
      </w:r>
    </w:p>
    <w:p w:rsidR="00FF6EC4" w:rsidRPr="00FF6EC4" w:rsidRDefault="00FF6EC4" w:rsidP="00FF6EC4">
      <w:pPr>
        <w:ind w:firstLine="567"/>
        <w:jc w:val="both"/>
      </w:pPr>
    </w:p>
    <w:p w:rsidR="00FF6EC4" w:rsidRPr="00FF6EC4" w:rsidRDefault="00FF6EC4" w:rsidP="00FF6EC4">
      <w:pPr>
        <w:ind w:left="426"/>
        <w:jc w:val="both"/>
      </w:pPr>
      <w:r w:rsidRPr="00FF6EC4">
        <w:rPr>
          <w:b/>
        </w:rPr>
        <w:t>Условия и сроки (периоды) выполнения работ</w:t>
      </w:r>
      <w:r w:rsidRPr="00FF6EC4">
        <w:t xml:space="preserve">: Срок изготовления протезно-ортопедического изделия не должен превышать 15 календарных дней со дня обращения инвалида с направлением Заказчика. Срок завершения работ должен быть не позднее </w:t>
      </w:r>
      <w:r w:rsidRPr="00FF6EC4">
        <w:rPr>
          <w:b/>
          <w:bCs/>
        </w:rPr>
        <w:t>15.12.2022</w:t>
      </w:r>
      <w:r w:rsidRPr="00FF6EC4">
        <w:t xml:space="preserve"> года</w:t>
      </w:r>
      <w:r w:rsidRPr="00FF6EC4">
        <w:rPr>
          <w:highlight w:val="yellow"/>
        </w:rPr>
        <w:t xml:space="preserve"> </w:t>
      </w:r>
    </w:p>
    <w:p w:rsidR="00FF6EC4" w:rsidRPr="00FF6EC4" w:rsidRDefault="00FF6EC4" w:rsidP="00FF6EC4">
      <w:pPr>
        <w:ind w:left="426"/>
        <w:jc w:val="both"/>
        <w:rPr>
          <w:b/>
        </w:rPr>
      </w:pPr>
    </w:p>
    <w:p w:rsidR="00FF6EC4" w:rsidRPr="00FF6EC4" w:rsidRDefault="00FF6EC4" w:rsidP="00FF6EC4">
      <w:pPr>
        <w:ind w:left="426"/>
        <w:jc w:val="both"/>
      </w:pPr>
      <w:r w:rsidRPr="00FF6EC4">
        <w:rPr>
          <w:b/>
        </w:rPr>
        <w:t>Место выполнения работ:</w:t>
      </w:r>
      <w:r w:rsidRPr="00FF6EC4">
        <w:t xml:space="preserve"> Выполнение работ в части изготовления изделий осуществляется по месту нахождения Исполнителя (Соисполнителя), а в части снятия мерок для дальнейшего изготовления, примерки, выдачи изделия и обучения пользованию изделием - по месту нахождения пунктов, </w:t>
      </w:r>
      <w:r w:rsidRPr="00FF6EC4">
        <w:rPr>
          <w:bCs/>
        </w:rPr>
        <w:t>организованных в соответствии с приказом Министерства труда и социальной защиты РФ от 30 июля 2015 года №527н</w:t>
      </w:r>
      <w:r w:rsidRPr="00FF6EC4">
        <w:t xml:space="preserve"> и расположенных на территории </w:t>
      </w:r>
      <w:r w:rsidRPr="00FF6EC4">
        <w:rPr>
          <w:bCs/>
        </w:rPr>
        <w:t>Краснодарского края.</w:t>
      </w:r>
    </w:p>
    <w:p w:rsidR="00FF6EC4" w:rsidRPr="00FF6EC4" w:rsidRDefault="00FF6EC4" w:rsidP="00FF6EC4">
      <w:pPr>
        <w:tabs>
          <w:tab w:val="left" w:pos="4284"/>
        </w:tabs>
        <w:ind w:firstLine="709"/>
        <w:jc w:val="both"/>
      </w:pPr>
      <w:r w:rsidRPr="00FF6EC4">
        <w:t>При этом в иных населенных пунктах на территории Краснодарского края</w:t>
      </w:r>
      <w:r w:rsidRPr="00FF6EC4">
        <w:rPr>
          <w:bCs/>
        </w:rPr>
        <w:t xml:space="preserve"> могут располагаться </w:t>
      </w:r>
      <w:r w:rsidRPr="00FF6EC4">
        <w:t xml:space="preserve">дополнительные пункты </w:t>
      </w:r>
      <w:r w:rsidRPr="00FF6EC4">
        <w:rPr>
          <w:bCs/>
        </w:rPr>
        <w:t>для снятия мерок для дальнейшего изготовления, примерки, выдачи изделия и обучения пользованию изделием, организованные в соответствии с приказом Министерства труда и социальной защиты РФ от 30 июля 2015 года №527н</w:t>
      </w:r>
      <w:r w:rsidRPr="00FF6EC4">
        <w:t xml:space="preserve">.       </w:t>
      </w:r>
    </w:p>
    <w:p w:rsidR="00FF6EC4" w:rsidRPr="00FF6EC4" w:rsidRDefault="00FF6EC4" w:rsidP="00FF6EC4">
      <w:pPr>
        <w:shd w:val="clear" w:color="auto" w:fill="FFFFFF"/>
        <w:ind w:firstLine="709"/>
        <w:jc w:val="both"/>
      </w:pPr>
      <w:r w:rsidRPr="00FF6EC4">
        <w:t>Инвалиды I-ой группы должны обслуживаться на дому.</w:t>
      </w:r>
    </w:p>
    <w:p w:rsidR="00FF6EC4" w:rsidRPr="00FF6EC4" w:rsidRDefault="00FF6EC4" w:rsidP="00FF6EC4">
      <w:pPr>
        <w:shd w:val="clear" w:color="auto" w:fill="FFFFFF"/>
        <w:ind w:firstLine="709"/>
        <w:jc w:val="both"/>
      </w:pPr>
      <w:r w:rsidRPr="00FF6EC4">
        <w:rPr>
          <w:b/>
          <w:color w:val="000000"/>
        </w:rPr>
        <w:t>Организация пунктов выдачи:</w:t>
      </w:r>
      <w:r w:rsidRPr="00FF6EC4">
        <w:rPr>
          <w:color w:val="000000"/>
        </w:rPr>
        <w:t xml:space="preserve"> Доступное для Получателей</w:t>
      </w:r>
      <w:r w:rsidRPr="00FF6EC4">
        <w:t xml:space="preserve"> помещение под размещение пункта (пунктов) приема в соответствии со статьей 15 Федерального закона от 24.11.1995 №181 «О социальной защите инвалидов в Российской Федерации».</w:t>
      </w:r>
    </w:p>
    <w:p w:rsidR="00FF6EC4" w:rsidRPr="00FF6EC4" w:rsidRDefault="00FF6EC4" w:rsidP="00FF6EC4">
      <w:pPr>
        <w:widowControl w:val="0"/>
        <w:shd w:val="clear" w:color="auto" w:fill="FFFFFF"/>
        <w:ind w:firstLine="709"/>
        <w:jc w:val="both"/>
      </w:pPr>
      <w:r w:rsidRPr="00FF6EC4">
        <w:t>Вход в каждый пункт приема должен быть обозначен надписью, позволяющей четко определить назначение и место нахождения указанного пункта приема. Проход в пункт (пункты) приема и передвижение по ним должны быть беспрепятственны для Получателей, оборудованы санитарно-бытовыми помещениями, оборудованы пандусами. Входная группа, пути движения внутри пункта (пунктов) приема, пути эвакуации должны соответствовать требованиям СП 59.13330.2020. Свод правил. Доступность зданий и сооружений для маломобильных групп населения. Свод правил. Административные и бытовые здания. Исполнителем должна быть обеспечена возможность самостоятельного передвижения Получателей по территории пункта (пунктов) приема, в том числе с помощью его работников, а также сменного кресла-коляски.</w:t>
      </w:r>
    </w:p>
    <w:p w:rsidR="00FF6EC4" w:rsidRPr="00FF6EC4" w:rsidRDefault="00FF6EC4" w:rsidP="00FF6EC4">
      <w:pPr>
        <w:widowControl w:val="0"/>
        <w:shd w:val="clear" w:color="auto" w:fill="FFFFFF"/>
        <w:ind w:firstLine="709"/>
        <w:jc w:val="both"/>
      </w:pPr>
      <w:r w:rsidRPr="00FF6EC4">
        <w:t xml:space="preserve">Зона ожидания Получателей должна быть оборудована мебелью для ожидания в сидячем положении. Зона обслуживания не должна располагаться в зоне ожидания. </w:t>
      </w:r>
    </w:p>
    <w:p w:rsidR="00FF6EC4" w:rsidRPr="00FF6EC4" w:rsidRDefault="00FF6EC4" w:rsidP="00FF6EC4">
      <w:pPr>
        <w:widowControl w:val="0"/>
        <w:shd w:val="clear" w:color="auto" w:fill="FFFFFF"/>
        <w:ind w:firstLine="709"/>
        <w:jc w:val="both"/>
        <w:rPr>
          <w:rFonts w:eastAsia="Calibri"/>
        </w:rPr>
      </w:pPr>
      <w:r w:rsidRPr="00FF6EC4">
        <w:t>Изделия должны находиться на складе пункта (пунктов) приема, обеспечивающем его надлежащее хранение. Изделия не должны находятся в зоне ожидания, в зоне обслуживания, в проходах, на путях эвакуации и других помещениях, не предназначенных для хранения.</w:t>
      </w:r>
      <w:r w:rsidRPr="00FF6EC4">
        <w:rPr>
          <w:rFonts w:eastAsia="Calibri"/>
        </w:rPr>
        <w:t xml:space="preserve"> Пункты приема Получателей, организованных Исполнителем должны быть на территории Краснодарского края, в том числе в г. Краснодаре.</w:t>
      </w:r>
    </w:p>
    <w:p w:rsidR="00FF6EC4" w:rsidRPr="00FF6EC4" w:rsidRDefault="00FF6EC4" w:rsidP="00FF6EC4">
      <w:pPr>
        <w:ind w:firstLine="709"/>
        <w:jc w:val="both"/>
      </w:pPr>
      <w:r w:rsidRPr="00FF6EC4">
        <w:rPr>
          <w:b/>
        </w:rPr>
        <w:t>Требования к качеству работ</w:t>
      </w:r>
      <w:r w:rsidRPr="00FF6EC4">
        <w:t xml:space="preserve">: протезы верхних конечностей должны соответствовать требованиям Межгосударственный стандарт ГОСТ ISO 10993-5-2011 «Изделия медицинские. Оценка биологического действия медицинских изделий. Часть 5. Исследования на </w:t>
      </w:r>
      <w:proofErr w:type="spellStart"/>
      <w:r w:rsidRPr="00FF6EC4">
        <w:t>цитотоксичность</w:t>
      </w:r>
      <w:proofErr w:type="spellEnd"/>
      <w:r w:rsidRPr="00FF6EC4">
        <w:t xml:space="preserve">: методы </w:t>
      </w:r>
      <w:proofErr w:type="spellStart"/>
      <w:r w:rsidRPr="00FF6EC4">
        <w:t>in</w:t>
      </w:r>
      <w:proofErr w:type="spellEnd"/>
      <w:r w:rsidRPr="00FF6EC4">
        <w:t xml:space="preserve"> </w:t>
      </w:r>
      <w:proofErr w:type="spellStart"/>
      <w:r w:rsidRPr="00FF6EC4">
        <w:t>vitro</w:t>
      </w:r>
      <w:proofErr w:type="spellEnd"/>
      <w:r w:rsidRPr="00FF6EC4">
        <w:t>», «ГОСТ ISO 10993-10-2011. Межгосударственный стандарт. Изделия медицинские. Оценка биологического действия медицинских изделий. Часть 10. Исследование раздражающего и сенсибилизирующего действия», «ГОСТ Р 52770-2016. Национальный стандарт Российской Федерации. Изделия медицинские. Требования безопасности. Методы санитарно-химических и токсикологических испытаний». Общие технические требования и методы испытаний»</w:t>
      </w:r>
      <w:r w:rsidRPr="00FF6EC4">
        <w:rPr>
          <w:vertAlign w:val="superscript"/>
        </w:rPr>
        <w:t xml:space="preserve"> </w:t>
      </w:r>
      <w:r w:rsidRPr="00FF6EC4">
        <w:t xml:space="preserve">Национального стандарта Российской Федерации ГОСТ Р ИСО 22523-2007 «Протезы конечностей и </w:t>
      </w:r>
      <w:proofErr w:type="spellStart"/>
      <w:r w:rsidRPr="00FF6EC4">
        <w:t>ортезы</w:t>
      </w:r>
      <w:proofErr w:type="spellEnd"/>
      <w:r w:rsidRPr="00FF6EC4">
        <w:t xml:space="preserve"> наружные. Требования и методы испытаний».</w:t>
      </w:r>
    </w:p>
    <w:p w:rsidR="00FF6EC4" w:rsidRPr="00FF6EC4" w:rsidRDefault="00FF6EC4" w:rsidP="00FF6EC4">
      <w:pPr>
        <w:ind w:firstLine="709"/>
        <w:jc w:val="both"/>
      </w:pPr>
      <w:r w:rsidRPr="00FF6EC4">
        <w:t>Протезы должны соответствовать требованиям Федерального закона от 21.11.2011 года № 323-ФЗ «Об основах охраны здоровья граждан в Российской Федерации».</w:t>
      </w:r>
    </w:p>
    <w:p w:rsidR="00FF6EC4" w:rsidRPr="00FF6EC4" w:rsidRDefault="00FF6EC4" w:rsidP="00FF6EC4">
      <w:pPr>
        <w:ind w:firstLine="709"/>
        <w:jc w:val="both"/>
      </w:pPr>
      <w:r w:rsidRPr="00FF6EC4">
        <w:rPr>
          <w:b/>
        </w:rPr>
        <w:lastRenderedPageBreak/>
        <w:t>Требования к техническим и функциональным характеристикам работ</w:t>
      </w:r>
      <w:r w:rsidRPr="00FF6EC4">
        <w:t xml:space="preserve">: Выполняемые работы по обеспечению протезами верхних конечностей должны содержать комплекс медицинских, технических и социальных мероприятий, проводимых с пациентами, имеющими нарушения и (или) дефекты опорно-двигательного аппарата, в целях восстановления или компенсации ограничений их жизнедеятельности. </w:t>
      </w:r>
    </w:p>
    <w:p w:rsidR="00FF6EC4" w:rsidRPr="00FF6EC4" w:rsidRDefault="00FF6EC4" w:rsidP="00FF6EC4">
      <w:pPr>
        <w:ind w:firstLine="709"/>
        <w:jc w:val="both"/>
      </w:pPr>
      <w:r w:rsidRPr="00FF6EC4">
        <w:t>Работы по проведению комплекса медицинских, технических и организационных мероприятий, должны быть направлены на частичное восстановление опорно-двигательных функций и (или) устранение косметических дефектов верхних конечностей пациента с помощью протеза верхней конечности.</w:t>
      </w:r>
    </w:p>
    <w:p w:rsidR="00FF6EC4" w:rsidRPr="00FF6EC4" w:rsidRDefault="00FF6EC4" w:rsidP="00FF6EC4">
      <w:pPr>
        <w:ind w:firstLine="709"/>
        <w:jc w:val="both"/>
      </w:pPr>
      <w:r w:rsidRPr="00FF6EC4">
        <w:rPr>
          <w:b/>
        </w:rPr>
        <w:t>Требования к результатам работ:</w:t>
      </w:r>
      <w:r w:rsidRPr="00FF6EC4">
        <w:t xml:space="preserve"> работы по обеспечению протезом должны быть эффективно исполненными, у инвалида должны быть: восстановлены опорная и двигательная функции конечности, созданы условия для предупреждения развития деформации или благоприятного течения болезни. Работы по обеспечению протезом должны выполняться с надлежащим качеством и в установленные сроки.</w:t>
      </w:r>
    </w:p>
    <w:p w:rsidR="00FF6EC4" w:rsidRPr="00FF6EC4" w:rsidRDefault="00FF6EC4" w:rsidP="00FF6EC4">
      <w:pPr>
        <w:ind w:firstLine="709"/>
        <w:jc w:val="both"/>
      </w:pPr>
      <w:r w:rsidRPr="00FF6EC4">
        <w:rPr>
          <w:b/>
        </w:rPr>
        <w:t xml:space="preserve">Гарантийный срок на протезы </w:t>
      </w:r>
      <w:r w:rsidRPr="00FF6EC4">
        <w:t>Срок предоставления гарантии должен составлять не менее 9 месяцев с момента выдачи изделия получателю.</w:t>
      </w:r>
    </w:p>
    <w:p w:rsidR="00FF6EC4" w:rsidRPr="00FF6EC4" w:rsidRDefault="00FF6EC4" w:rsidP="00FF6EC4">
      <w:pPr>
        <w:ind w:firstLine="709"/>
        <w:jc w:val="both"/>
      </w:pPr>
      <w:r w:rsidRPr="00FF6EC4">
        <w:t>В течение гарантийного срока исполнитель должен производить замену, ремонт изделия бесплатно. Срок выполнения гарантийного ремонта со дня обращения Получателя должен быть не более 20 рабочих дней.</w:t>
      </w:r>
    </w:p>
    <w:p w:rsidR="003D4910" w:rsidRPr="003D4910" w:rsidRDefault="003D4910" w:rsidP="003D4910">
      <w:pPr>
        <w:keepLines/>
        <w:widowControl w:val="0"/>
        <w:tabs>
          <w:tab w:val="left" w:pos="5865"/>
        </w:tabs>
      </w:pPr>
    </w:p>
    <w:p w:rsidR="003D4910" w:rsidRPr="00101F8C" w:rsidRDefault="003D4910" w:rsidP="00FF6EC4">
      <w:pPr>
        <w:keepLines/>
        <w:widowControl w:val="0"/>
        <w:jc w:val="both"/>
        <w:rPr>
          <w:b/>
        </w:rPr>
      </w:pPr>
    </w:p>
    <w:sectPr w:rsidR="003D4910" w:rsidRPr="00101F8C" w:rsidSect="00101F8C">
      <w:pgSz w:w="16838" w:h="11906" w:orient="landscape"/>
      <w:pgMar w:top="567"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3AE3" w:rsidRDefault="002D3AE3" w:rsidP="002D3AE3">
      <w:r>
        <w:separator/>
      </w:r>
    </w:p>
  </w:endnote>
  <w:endnote w:type="continuationSeparator" w:id="0">
    <w:p w:rsidR="002D3AE3" w:rsidRDefault="002D3AE3" w:rsidP="002D3A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3AE3" w:rsidRDefault="002D3AE3" w:rsidP="002D3AE3">
      <w:r>
        <w:separator/>
      </w:r>
    </w:p>
  </w:footnote>
  <w:footnote w:type="continuationSeparator" w:id="0">
    <w:p w:rsidR="002D3AE3" w:rsidRDefault="002D3AE3" w:rsidP="002D3AE3">
      <w:r>
        <w:continuationSeparator/>
      </w:r>
    </w:p>
  </w:footnote>
  <w:footnote w:id="1">
    <w:p w:rsidR="00FF6EC4" w:rsidRDefault="00FF6EC4" w:rsidP="00FF6EC4">
      <w:pPr>
        <w:pStyle w:val="a4"/>
      </w:pPr>
      <w:r>
        <w:rPr>
          <w:rStyle w:val="a5"/>
        </w:rPr>
        <w:footnoteRef/>
      </w:r>
      <w:r>
        <w:t xml:space="preserve"> Не более</w:t>
      </w:r>
    </w:p>
  </w:footnote>
  <w:footnote w:id="2">
    <w:p w:rsidR="00FF6EC4" w:rsidRDefault="00FF6EC4" w:rsidP="00FF6EC4">
      <w:pPr>
        <w:pStyle w:val="a4"/>
      </w:pPr>
      <w:r>
        <w:rPr>
          <w:rStyle w:val="a5"/>
        </w:rPr>
        <w:footnoteRef/>
      </w:r>
      <w:r>
        <w:t xml:space="preserve"> Не более</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F9D"/>
    <w:rsid w:val="00014BD2"/>
    <w:rsid w:val="00034E96"/>
    <w:rsid w:val="00101F8C"/>
    <w:rsid w:val="00175368"/>
    <w:rsid w:val="00296A3C"/>
    <w:rsid w:val="002D3AE3"/>
    <w:rsid w:val="00301F9D"/>
    <w:rsid w:val="00394647"/>
    <w:rsid w:val="003D4910"/>
    <w:rsid w:val="00420F97"/>
    <w:rsid w:val="0057073D"/>
    <w:rsid w:val="006F0DA1"/>
    <w:rsid w:val="00764E8F"/>
    <w:rsid w:val="00767299"/>
    <w:rsid w:val="007E71AA"/>
    <w:rsid w:val="0084539C"/>
    <w:rsid w:val="00851C5E"/>
    <w:rsid w:val="009944D3"/>
    <w:rsid w:val="00A060E2"/>
    <w:rsid w:val="00A5639F"/>
    <w:rsid w:val="00BC76AB"/>
    <w:rsid w:val="00D84F4A"/>
    <w:rsid w:val="00E25850"/>
    <w:rsid w:val="00EE4C7A"/>
    <w:rsid w:val="00F150F8"/>
    <w:rsid w:val="00FF6E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7864EC-88F0-455E-B1C3-BCFC053DA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3AE3"/>
    <w:pPr>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Char Знак,Текст сноски Знак1 Знак"/>
    <w:basedOn w:val="a0"/>
    <w:link w:val="a4"/>
    <w:uiPriority w:val="99"/>
    <w:locked/>
    <w:rsid w:val="002D3AE3"/>
    <w:rPr>
      <w:rFonts w:ascii="Times New Roman" w:eastAsia="Times New Roman" w:hAnsi="Times New Roman" w:cs="Times New Roman"/>
      <w:sz w:val="20"/>
      <w:szCs w:val="20"/>
      <w:lang w:eastAsia="ar-SA"/>
    </w:r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Char"/>
    <w:basedOn w:val="a"/>
    <w:link w:val="a3"/>
    <w:uiPriority w:val="99"/>
    <w:unhideWhenUsed/>
    <w:qFormat/>
    <w:rsid w:val="002D3AE3"/>
    <w:rPr>
      <w:sz w:val="20"/>
      <w:szCs w:val="20"/>
    </w:rPr>
  </w:style>
  <w:style w:type="character" w:customStyle="1" w:styleId="1">
    <w:name w:val="Текст сноски Знак1"/>
    <w:basedOn w:val="a0"/>
    <w:uiPriority w:val="99"/>
    <w:semiHidden/>
    <w:rsid w:val="002D3AE3"/>
    <w:rPr>
      <w:rFonts w:ascii="Times New Roman" w:eastAsia="Times New Roman" w:hAnsi="Times New Roman" w:cs="Times New Roman"/>
      <w:sz w:val="20"/>
      <w:szCs w:val="20"/>
      <w:lang w:eastAsia="ar-SA"/>
    </w:rPr>
  </w:style>
  <w:style w:type="character" w:styleId="a5">
    <w:name w:val="footnote reference"/>
    <w:aliases w:val="Ссылка на сноску 45"/>
    <w:basedOn w:val="a0"/>
    <w:uiPriority w:val="99"/>
    <w:unhideWhenUsed/>
    <w:rsid w:val="002D3AE3"/>
    <w:rPr>
      <w:vertAlign w:val="superscript"/>
    </w:rPr>
  </w:style>
  <w:style w:type="paragraph" w:styleId="a6">
    <w:name w:val="No Spacing"/>
    <w:link w:val="a7"/>
    <w:uiPriority w:val="1"/>
    <w:qFormat/>
    <w:rsid w:val="006F0DA1"/>
    <w:pPr>
      <w:suppressAutoHyphens/>
      <w:spacing w:after="0" w:line="240" w:lineRule="auto"/>
    </w:pPr>
    <w:rPr>
      <w:rFonts w:ascii="Times New Roman" w:eastAsia="Times New Roman" w:hAnsi="Times New Roman" w:cs="Times New Roman"/>
      <w:sz w:val="24"/>
      <w:szCs w:val="24"/>
      <w:lang w:eastAsia="ar-SA"/>
    </w:rPr>
  </w:style>
  <w:style w:type="character" w:customStyle="1" w:styleId="a7">
    <w:name w:val="Без интервала Знак"/>
    <w:link w:val="a6"/>
    <w:uiPriority w:val="1"/>
    <w:rsid w:val="006F0DA1"/>
    <w:rPr>
      <w:rFonts w:ascii="Times New Roman" w:eastAsia="Times New Roman" w:hAnsi="Times New Roman" w:cs="Times New Roman"/>
      <w:sz w:val="24"/>
      <w:szCs w:val="24"/>
      <w:lang w:eastAsia="ar-SA"/>
    </w:rPr>
  </w:style>
  <w:style w:type="table" w:customStyle="1" w:styleId="10">
    <w:name w:val="Сетка таблицы1"/>
    <w:basedOn w:val="a1"/>
    <w:next w:val="a8"/>
    <w:uiPriority w:val="59"/>
    <w:rsid w:val="003D49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1"/>
    <w:uiPriority w:val="59"/>
    <w:rsid w:val="003D49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322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4</Pages>
  <Words>1239</Words>
  <Characters>7065</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Krasnodar region office of FSI</Company>
  <LinksUpToDate>false</LinksUpToDate>
  <CharactersWithSpaces>8288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Сигаева Лилия Александровна</dc:creator>
  <cp:keywords/>
  <dc:description/>
  <cp:lastModifiedBy>Коноплева Лидия Сергеевна</cp:lastModifiedBy>
  <cp:revision>30</cp:revision>
  <dcterms:created xsi:type="dcterms:W3CDTF">2022-08-18T13:10:00Z</dcterms:created>
  <dcterms:modified xsi:type="dcterms:W3CDTF">2022-08-26T12:45:00Z</dcterms:modified>
</cp:coreProperties>
</file>