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1D" w:rsidRDefault="00EA0C0D" w:rsidP="00ED601D">
      <w:pPr>
        <w:keepNext/>
        <w:keepLines/>
        <w:tabs>
          <w:tab w:val="left" w:pos="142"/>
          <w:tab w:val="left" w:pos="708"/>
        </w:tabs>
        <w:snapToGrid w:val="0"/>
        <w:jc w:val="right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</w:rPr>
        <w:t>Приложение №3</w:t>
      </w:r>
      <w:r w:rsidRPr="00CF1D95">
        <w:rPr>
          <w:i/>
          <w:sz w:val="22"/>
          <w:szCs w:val="22"/>
        </w:rPr>
        <w:t xml:space="preserve"> к</w:t>
      </w:r>
      <w:r w:rsidRPr="00CF1D95">
        <w:rPr>
          <w:i/>
          <w:sz w:val="22"/>
          <w:szCs w:val="22"/>
          <w:lang w:eastAsia="ar-SA"/>
        </w:rPr>
        <w:t xml:space="preserve"> Извещению </w:t>
      </w:r>
    </w:p>
    <w:p w:rsidR="00EA0C0D" w:rsidRPr="00CF1D95" w:rsidRDefault="00EA0C0D" w:rsidP="00ED601D">
      <w:pPr>
        <w:keepNext/>
        <w:keepLines/>
        <w:tabs>
          <w:tab w:val="left" w:pos="142"/>
          <w:tab w:val="left" w:pos="708"/>
        </w:tabs>
        <w:snapToGrid w:val="0"/>
        <w:jc w:val="right"/>
        <w:rPr>
          <w:i/>
          <w:sz w:val="22"/>
          <w:szCs w:val="22"/>
        </w:rPr>
      </w:pPr>
      <w:r w:rsidRPr="00CF1D95">
        <w:rPr>
          <w:i/>
          <w:sz w:val="22"/>
          <w:szCs w:val="22"/>
          <w:lang w:eastAsia="ar-SA"/>
        </w:rPr>
        <w:t>об открытом аукционе в электронной форме</w:t>
      </w:r>
    </w:p>
    <w:p w:rsidR="00173B3F" w:rsidRPr="00671368" w:rsidRDefault="00173B3F" w:rsidP="00173B3F">
      <w:pPr>
        <w:pStyle w:val="01zagolovok"/>
        <w:keepNext w:val="0"/>
        <w:pageBreakBefore w:val="0"/>
        <w:widowControl w:val="0"/>
        <w:tabs>
          <w:tab w:val="center" w:pos="5103"/>
          <w:tab w:val="left" w:pos="8775"/>
        </w:tabs>
        <w:spacing w:before="0" w:after="0"/>
        <w:jc w:val="both"/>
        <w:outlineLvl w:val="9"/>
        <w:rPr>
          <w:rFonts w:ascii="Times New Roman" w:hAnsi="Times New Roman"/>
          <w:b w:val="0"/>
          <w:color w:val="auto"/>
          <w:sz w:val="24"/>
          <w:szCs w:val="24"/>
          <w:lang w:bidi="ru-RU"/>
        </w:rPr>
      </w:pPr>
    </w:p>
    <w:p w:rsidR="00173B3F" w:rsidRDefault="00173B3F" w:rsidP="00173B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объекта закупки</w:t>
      </w:r>
    </w:p>
    <w:p w:rsidR="008007BB" w:rsidRDefault="00173B3F" w:rsidP="006C6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(Техническое задание)</w:t>
      </w:r>
    </w:p>
    <w:p w:rsidR="006C6891" w:rsidRPr="006C6891" w:rsidRDefault="006C6891" w:rsidP="006C6891">
      <w:pPr>
        <w:jc w:val="center"/>
        <w:rPr>
          <w:b/>
          <w:bCs/>
          <w:sz w:val="28"/>
          <w:szCs w:val="28"/>
        </w:rPr>
      </w:pPr>
    </w:p>
    <w:p w:rsidR="00EB252C" w:rsidRPr="00672899" w:rsidRDefault="00EB252C" w:rsidP="00EB252C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672899">
        <w:rPr>
          <w:b/>
          <w:i/>
          <w:sz w:val="22"/>
          <w:szCs w:val="22"/>
        </w:rPr>
        <w:t xml:space="preserve">Поставка специальных средств при нарушении функции выделения для инвалидов </w:t>
      </w:r>
    </w:p>
    <w:p w:rsidR="00EB252C" w:rsidRPr="00672899" w:rsidRDefault="00EB252C" w:rsidP="00EB252C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672899">
        <w:rPr>
          <w:b/>
          <w:i/>
          <w:sz w:val="22"/>
          <w:szCs w:val="22"/>
        </w:rPr>
        <w:t>в 2023 году.</w:t>
      </w:r>
    </w:p>
    <w:tbl>
      <w:tblPr>
        <w:tblW w:w="103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127"/>
        <w:gridCol w:w="1558"/>
      </w:tblGrid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A32C6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uppressLineNumbers/>
              <w:tabs>
                <w:tab w:val="left" w:pos="708"/>
              </w:tabs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A32C6">
              <w:rPr>
                <w:sz w:val="22"/>
                <w:szCs w:val="22"/>
                <w:lang w:eastAsia="en-US"/>
              </w:rPr>
              <w:t>Наименование товара по КТРУ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1A32C6">
              <w:rPr>
                <w:sz w:val="22"/>
                <w:szCs w:val="22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A32C6">
              <w:rPr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с пластырем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код позиции КТРУ:</w:t>
            </w:r>
            <w:r w:rsidRPr="001A32C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для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пениса_порт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при недержании мочи, одноразового пользования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bCs/>
                <w:sz w:val="22"/>
                <w:szCs w:val="22"/>
                <w:lang w:eastAsia="ar-SA"/>
              </w:rPr>
              <w:t>32.50.50.000-00000279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b/>
                <w:bCs/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b/>
                <w:bCs/>
                <w:sz w:val="22"/>
                <w:szCs w:val="22"/>
                <w:lang w:eastAsia="ar-SA"/>
              </w:rPr>
              <w:t>:</w:t>
            </w:r>
            <w:r w:rsidRPr="001A32C6">
              <w:rPr>
                <w:bCs/>
                <w:sz w:val="22"/>
                <w:szCs w:val="22"/>
                <w:lang w:eastAsia="ar-SA"/>
              </w:rPr>
              <w:t xml:space="preserve"> Эластичное изделие для улавливания мочи, надевающееся на половой орган и фиксирующееся на нем, соединяющееся с дренажной трубкой мочеприемника (п. 3.39. ГОСТ Р 58235-2018).</w:t>
            </w: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Уропрезервативы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различных размеров от 20 до 40 мм (участником электронного аукциона указывается размерный ряд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уропрезервативов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>) с пластырем (индивидуальный подбор).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ind w:firstLine="424"/>
              <w:jc w:val="both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jc w:val="center"/>
              <w:rPr>
                <w:color w:val="000000"/>
                <w:sz w:val="22"/>
                <w:szCs w:val="22"/>
              </w:rPr>
            </w:pPr>
            <w:r w:rsidRPr="001A32C6">
              <w:rPr>
                <w:color w:val="000000"/>
                <w:sz w:val="22"/>
                <w:szCs w:val="22"/>
              </w:rPr>
              <w:t>3500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самоклеящийся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код позиции КТРУ:</w:t>
            </w:r>
            <w:r w:rsidRPr="001A32C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для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пениса_порт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при недержании мочи, одноразового пользования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bCs/>
                <w:sz w:val="22"/>
                <w:szCs w:val="22"/>
                <w:lang w:eastAsia="ar-SA"/>
              </w:rPr>
              <w:t>32.50.50.000-00000279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b/>
                <w:bCs/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b/>
                <w:bCs/>
                <w:sz w:val="22"/>
                <w:szCs w:val="22"/>
                <w:lang w:eastAsia="ar-SA"/>
              </w:rPr>
              <w:t>:</w:t>
            </w:r>
            <w:r w:rsidRPr="001A32C6">
              <w:rPr>
                <w:bCs/>
                <w:sz w:val="22"/>
                <w:szCs w:val="22"/>
                <w:lang w:eastAsia="ar-SA"/>
              </w:rPr>
              <w:t xml:space="preserve"> Эластичное изделие для улавливания мочи, надевающееся на половой орган и фиксирующееся на нем, соединяющееся с дренажной трубкой мочеприемника (п. 3.39. ГОСТ Р 58235-2018).</w:t>
            </w: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Уропрезервативы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самоклеящиеся различных размеров от 20 до 40 мм (участником электронного аукциона указывается размерный ряд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уропрезервативов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(индивидуальный подбор).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ind w:firstLine="424"/>
              <w:jc w:val="both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jc w:val="center"/>
              <w:rPr>
                <w:color w:val="000000"/>
                <w:sz w:val="22"/>
                <w:szCs w:val="22"/>
              </w:rPr>
            </w:pPr>
            <w:r w:rsidRPr="001A32C6">
              <w:rPr>
                <w:color w:val="000000"/>
                <w:sz w:val="22"/>
                <w:szCs w:val="22"/>
              </w:rPr>
              <w:t>6000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left="33" w:right="-15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Катетер уретральный длительного пользования</w:t>
            </w: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right="33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right="33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left="33" w:right="-15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код позиции КТРУ:</w:t>
            </w: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left="33" w:right="-15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Катетер уретральный постоянный для дренажа/промывания</w:t>
            </w: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left="33" w:right="-15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32.50.13.190-00006893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b/>
                <w:bCs/>
                <w:sz w:val="22"/>
                <w:szCs w:val="22"/>
                <w:lang w:eastAsia="ar-SA"/>
              </w:rPr>
              <w:t>Уретральный катетер:</w:t>
            </w:r>
            <w:r w:rsidRPr="001A32C6">
              <w:rPr>
                <w:bCs/>
                <w:sz w:val="22"/>
                <w:szCs w:val="22"/>
                <w:lang w:eastAsia="ar-SA"/>
              </w:rPr>
              <w:t xml:space="preserve"> Стандартный двухходовый (один ход для раздувания баллона, второй - для присоединения к мешку-мочеприемнику) катетер </w:t>
            </w:r>
            <w:proofErr w:type="spellStart"/>
            <w:r w:rsidRPr="001A32C6">
              <w:rPr>
                <w:bCs/>
                <w:sz w:val="22"/>
                <w:szCs w:val="22"/>
                <w:lang w:eastAsia="ar-SA"/>
              </w:rPr>
              <w:t>Фолея</w:t>
            </w:r>
            <w:proofErr w:type="spellEnd"/>
            <w:r w:rsidRPr="001A32C6">
              <w:rPr>
                <w:bCs/>
                <w:sz w:val="22"/>
                <w:szCs w:val="22"/>
                <w:lang w:eastAsia="ar-SA"/>
              </w:rPr>
              <w:t xml:space="preserve"> с баллоном для длительного использования (п. 3.46. ГОСТ Р 58235-2018).</w:t>
            </w: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Катетеры для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уростом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различных размеров (индивидуальный подбор).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ind w:firstLine="424"/>
              <w:jc w:val="both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1 недели.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jc w:val="center"/>
              <w:rPr>
                <w:color w:val="000000"/>
                <w:sz w:val="22"/>
                <w:szCs w:val="22"/>
              </w:rPr>
            </w:pPr>
            <w:r w:rsidRPr="001A32C6">
              <w:rPr>
                <w:color w:val="000000"/>
                <w:sz w:val="22"/>
                <w:szCs w:val="22"/>
              </w:rPr>
              <w:t>1200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C" w:rsidRPr="001A32C6" w:rsidRDefault="00EB252C" w:rsidP="002B34C7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Катетер уретральный постоянного пользования</w:t>
            </w:r>
          </w:p>
          <w:p w:rsidR="00EB252C" w:rsidRPr="001A32C6" w:rsidRDefault="00EB252C" w:rsidP="002B34C7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right="33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left="33" w:right="-15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код позиции КТРУ:</w:t>
            </w:r>
          </w:p>
          <w:p w:rsidR="00EB252C" w:rsidRPr="001A32C6" w:rsidRDefault="00EB252C" w:rsidP="002B34C7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Катетер уретральный постоянный для дренажа</w:t>
            </w:r>
          </w:p>
          <w:p w:rsidR="00EB252C" w:rsidRPr="001A32C6" w:rsidRDefault="00EB252C" w:rsidP="002B34C7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32.50.13.190-00006892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tabs>
                <w:tab w:val="left" w:pos="2266"/>
              </w:tabs>
              <w:autoSpaceDE w:val="0"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b/>
                <w:sz w:val="22"/>
                <w:szCs w:val="22"/>
                <w:lang w:eastAsia="ar-SA"/>
              </w:rPr>
              <w:t>Катетер уретральный</w:t>
            </w:r>
            <w:r w:rsidRPr="001A32C6">
              <w:rPr>
                <w:sz w:val="22"/>
                <w:szCs w:val="22"/>
                <w:lang w:eastAsia="ar-SA"/>
              </w:rPr>
              <w:t xml:space="preserve"> постоянного пользования, катетеры различных размеров (индивидуальный подбор).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ind w:firstLine="424"/>
              <w:jc w:val="both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jc w:val="center"/>
              <w:rPr>
                <w:color w:val="000000"/>
                <w:sz w:val="22"/>
                <w:szCs w:val="22"/>
              </w:rPr>
            </w:pPr>
            <w:r w:rsidRPr="001A32C6">
              <w:rPr>
                <w:color w:val="000000"/>
                <w:sz w:val="22"/>
                <w:szCs w:val="22"/>
              </w:rPr>
              <w:t>120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Катетер для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эпицистостомы</w:t>
            </w:r>
            <w:proofErr w:type="spellEnd"/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b/>
                <w:bCs/>
                <w:sz w:val="22"/>
                <w:szCs w:val="22"/>
                <w:lang w:eastAsia="ar-SA"/>
              </w:rPr>
              <w:t xml:space="preserve">Катетер для </w:t>
            </w:r>
            <w:proofErr w:type="spellStart"/>
            <w:r w:rsidRPr="001A32C6">
              <w:rPr>
                <w:b/>
                <w:bCs/>
                <w:sz w:val="22"/>
                <w:szCs w:val="22"/>
                <w:lang w:eastAsia="ar-SA"/>
              </w:rPr>
              <w:t>эпицистостом</w:t>
            </w:r>
            <w:proofErr w:type="spellEnd"/>
            <w:r w:rsidRPr="001A32C6">
              <w:rPr>
                <w:b/>
                <w:bCs/>
                <w:sz w:val="22"/>
                <w:szCs w:val="22"/>
                <w:lang w:eastAsia="ar-SA"/>
              </w:rPr>
              <w:t>:</w:t>
            </w:r>
            <w:r w:rsidRPr="001A32C6">
              <w:rPr>
                <w:bCs/>
                <w:sz w:val="22"/>
                <w:szCs w:val="22"/>
                <w:lang w:eastAsia="ar-SA"/>
              </w:rPr>
              <w:t xml:space="preserve"> Двухходовый (один ход для раздувания баллона, второй - для присоединения к мешку-мочеприемнику)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1A32C6">
              <w:rPr>
                <w:bCs/>
                <w:sz w:val="22"/>
                <w:szCs w:val="22"/>
                <w:lang w:eastAsia="ar-SA"/>
              </w:rPr>
              <w:t>эпицистостом</w:t>
            </w:r>
            <w:proofErr w:type="spellEnd"/>
            <w:r w:rsidRPr="001A32C6">
              <w:rPr>
                <w:bCs/>
                <w:sz w:val="22"/>
                <w:szCs w:val="22"/>
                <w:lang w:eastAsia="ar-SA"/>
              </w:rPr>
              <w:t xml:space="preserve"> или катетер </w:t>
            </w:r>
            <w:proofErr w:type="spellStart"/>
            <w:r w:rsidRPr="001A32C6">
              <w:rPr>
                <w:bCs/>
                <w:sz w:val="22"/>
                <w:szCs w:val="22"/>
                <w:lang w:eastAsia="ar-SA"/>
              </w:rPr>
              <w:t>Пеццера</w:t>
            </w:r>
            <w:proofErr w:type="spellEnd"/>
            <w:r w:rsidRPr="001A32C6">
              <w:rPr>
                <w:bCs/>
                <w:sz w:val="22"/>
                <w:szCs w:val="22"/>
                <w:lang w:eastAsia="ar-SA"/>
              </w:rPr>
              <w:t xml:space="preserve"> для </w:t>
            </w:r>
            <w:proofErr w:type="spellStart"/>
            <w:r w:rsidRPr="001A32C6">
              <w:rPr>
                <w:bCs/>
                <w:sz w:val="22"/>
                <w:szCs w:val="22"/>
                <w:lang w:eastAsia="ar-SA"/>
              </w:rPr>
              <w:t>эпицистостом</w:t>
            </w:r>
            <w:proofErr w:type="spellEnd"/>
            <w:r w:rsidRPr="001A32C6">
              <w:rPr>
                <w:bCs/>
                <w:sz w:val="22"/>
                <w:szCs w:val="22"/>
                <w:lang w:eastAsia="ar-SA"/>
              </w:rPr>
              <w:t xml:space="preserve"> (п. 3.42. ГОСТ Р 58235-2018).</w:t>
            </w: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Катетеры различных размеров (индивидуальный подбор).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ind w:firstLine="424"/>
              <w:jc w:val="both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Срок службы товара (срок пользования) должен составлять   не менее 1 недели.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jc w:val="center"/>
              <w:rPr>
                <w:color w:val="000000"/>
                <w:sz w:val="22"/>
                <w:szCs w:val="22"/>
              </w:rPr>
            </w:pPr>
            <w:r w:rsidRPr="001A32C6">
              <w:rPr>
                <w:color w:val="000000"/>
                <w:sz w:val="22"/>
                <w:szCs w:val="22"/>
              </w:rPr>
              <w:t>5100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Система (с катетером) для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нефростомии</w:t>
            </w:r>
            <w:proofErr w:type="spellEnd"/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2C" w:rsidRPr="001A32C6" w:rsidRDefault="00EB252C" w:rsidP="002B34C7">
            <w:pPr>
              <w:suppressAutoHyphens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b/>
                <w:sz w:val="22"/>
                <w:szCs w:val="22"/>
                <w:lang w:eastAsia="ar-SA"/>
              </w:rPr>
              <w:t xml:space="preserve">Система (с катетером) для </w:t>
            </w:r>
            <w:proofErr w:type="spellStart"/>
            <w:r w:rsidRPr="001A32C6">
              <w:rPr>
                <w:b/>
                <w:sz w:val="22"/>
                <w:szCs w:val="22"/>
                <w:lang w:eastAsia="ar-SA"/>
              </w:rPr>
              <w:t>нефростомии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предназначена для выведения мочи из почки искусственным путем с помощью дренажа.</w:t>
            </w:r>
          </w:p>
          <w:p w:rsidR="00EB252C" w:rsidRPr="001A32C6" w:rsidRDefault="00EB252C" w:rsidP="002B34C7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Должна включать: </w:t>
            </w:r>
          </w:p>
          <w:p w:rsidR="00EB252C" w:rsidRPr="001A32C6" w:rsidRDefault="00EB252C" w:rsidP="002B34C7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- катетер для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чрескожной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пункционной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нефростомии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(ЧПНС),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однопетлевой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, с боковыми отверстиями на петле, материал термопластичный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рентгеноконтрастный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>, с гибким переходником и коннектором для присоединения к мочеприемнику;</w:t>
            </w:r>
          </w:p>
          <w:p w:rsidR="00EB252C" w:rsidRPr="001A32C6" w:rsidRDefault="00EB252C" w:rsidP="002B34C7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- стилет для выпрямления петли катетера;</w:t>
            </w:r>
          </w:p>
          <w:p w:rsidR="00EB252C" w:rsidRPr="001A32C6" w:rsidRDefault="00EB252C" w:rsidP="002B34C7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- проводник с гибким J-образным наконечником;</w:t>
            </w:r>
          </w:p>
          <w:p w:rsidR="00EB252C" w:rsidRPr="001A32C6" w:rsidRDefault="00EB252C" w:rsidP="002B34C7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-пункционная игла;</w:t>
            </w:r>
          </w:p>
          <w:p w:rsidR="00EB252C" w:rsidRPr="001A32C6" w:rsidRDefault="00EB252C" w:rsidP="002B34C7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- дилататор.  </w:t>
            </w:r>
          </w:p>
          <w:p w:rsidR="00EB252C" w:rsidRPr="001A32C6" w:rsidRDefault="00EB252C" w:rsidP="002B34C7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Стерильная, для однократного применения. Различных размеров, индивидуальный подбор.</w:t>
            </w:r>
          </w:p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Срок службы товара (срок пользования) должен составлять   не менее 3 месяцев.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jc w:val="center"/>
              <w:rPr>
                <w:color w:val="000000"/>
                <w:sz w:val="22"/>
                <w:szCs w:val="22"/>
              </w:rPr>
            </w:pPr>
            <w:r w:rsidRPr="001A32C6">
              <w:rPr>
                <w:color w:val="000000"/>
                <w:sz w:val="22"/>
                <w:szCs w:val="22"/>
              </w:rPr>
              <w:t>60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C" w:rsidRPr="001A32C6" w:rsidRDefault="00EB252C" w:rsidP="002B34C7">
            <w:pPr>
              <w:widowControl w:val="0"/>
              <w:tabs>
                <w:tab w:val="left" w:pos="333"/>
              </w:tabs>
              <w:suppressAutoHyphens/>
              <w:snapToGrid w:val="0"/>
              <w:spacing w:line="256" w:lineRule="auto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Катетер мочеточниковый для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уретерокутанеостомы</w:t>
            </w:r>
            <w:proofErr w:type="spellEnd"/>
          </w:p>
          <w:p w:rsidR="00EB252C" w:rsidRPr="001A32C6" w:rsidRDefault="00EB252C" w:rsidP="002B34C7">
            <w:pPr>
              <w:widowControl w:val="0"/>
              <w:tabs>
                <w:tab w:val="left" w:pos="333"/>
              </w:tabs>
              <w:suppressAutoHyphens/>
              <w:snapToGrid w:val="0"/>
              <w:spacing w:line="256" w:lineRule="auto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2C" w:rsidRPr="001A32C6" w:rsidRDefault="00EB252C" w:rsidP="002B34C7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М</w:t>
            </w:r>
            <w:r w:rsidRPr="001A32C6">
              <w:rPr>
                <w:b/>
                <w:bCs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очеточниковый катетер для</w:t>
            </w:r>
            <w:r w:rsidRPr="001A32C6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spellStart"/>
            <w:r w:rsidRPr="001A32C6">
              <w:rPr>
                <w:b/>
                <w:bCs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уретерокутанеостом</w:t>
            </w:r>
            <w:proofErr w:type="spellEnd"/>
            <w:r w:rsidRPr="001A32C6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:</w:t>
            </w:r>
            <w:r w:rsidRPr="001A32C6">
              <w:rPr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A32C6">
              <w:rPr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Одноходовый</w:t>
            </w:r>
            <w:proofErr w:type="spellEnd"/>
            <w:r w:rsidRPr="001A32C6">
              <w:rPr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A32C6">
              <w:rPr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безбаллонный</w:t>
            </w:r>
            <w:proofErr w:type="spellEnd"/>
            <w:r w:rsidRPr="001A32C6">
              <w:rPr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урологический катетер с коннектором для соединения с мочеприемником.</w:t>
            </w:r>
            <w:r w:rsidRPr="001A32C6">
              <w:rPr>
                <w:bCs/>
                <w:sz w:val="22"/>
                <w:szCs w:val="22"/>
                <w:lang w:eastAsia="ar-SA"/>
              </w:rPr>
              <w:t xml:space="preserve"> (п. 3.41. ГОСТ Р 58235-2018).</w:t>
            </w:r>
          </w:p>
          <w:p w:rsidR="00EB252C" w:rsidRPr="001A32C6" w:rsidRDefault="00EB252C" w:rsidP="002B34C7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Катетер для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уретерокутанеостомии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предназначен для постоянного и временного отведения мочи из мочеточника путем дренажа.</w:t>
            </w:r>
          </w:p>
          <w:p w:rsidR="00EB252C" w:rsidRPr="001A32C6" w:rsidRDefault="00EB252C" w:rsidP="002B34C7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Катетер изготовлен из высококачественного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рентгеноконтрастного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материала (ПВХ). Конец катетера имеет сферический профиль, исключающий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травмирование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тканей при его введении. Катетер имеет боковые отверстия. На катетере должны быть кольцевые метки, позволяющие контролировать глубину его введения. Каждый катетер снабжен проводником из упругого материала. </w:t>
            </w:r>
          </w:p>
          <w:p w:rsidR="00EB252C" w:rsidRPr="001A32C6" w:rsidRDefault="00EB252C" w:rsidP="002B34C7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Стерильный, одноразовый. Различных размеров, индивидуальный подбор.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ind w:firstLine="424"/>
              <w:jc w:val="both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Срок службы товара (срок пользования) должен составлять   не менее 3 месяцев.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jc w:val="center"/>
              <w:rPr>
                <w:color w:val="000000"/>
                <w:sz w:val="22"/>
                <w:szCs w:val="22"/>
              </w:rPr>
            </w:pPr>
            <w:r w:rsidRPr="001A32C6">
              <w:rPr>
                <w:color w:val="000000"/>
                <w:sz w:val="22"/>
                <w:szCs w:val="22"/>
              </w:rPr>
              <w:t>30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Однокомпонентный дренируемый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keepNext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b/>
                <w:sz w:val="22"/>
                <w:szCs w:val="22"/>
                <w:lang w:eastAsia="ar-SA"/>
              </w:rPr>
              <w:t>Уроприемники</w:t>
            </w:r>
            <w:proofErr w:type="spellEnd"/>
            <w:r w:rsidRPr="001A32C6">
              <w:rPr>
                <w:b/>
                <w:sz w:val="22"/>
                <w:szCs w:val="22"/>
                <w:lang w:eastAsia="ar-SA"/>
              </w:rPr>
              <w:t xml:space="preserve"> однокомпонентные дренируемые со встроенной плоской адгезивной пластиной</w:t>
            </w:r>
            <w:r w:rsidRPr="001A32C6">
              <w:rPr>
                <w:sz w:val="22"/>
                <w:szCs w:val="22"/>
                <w:lang w:eastAsia="ar-SA"/>
              </w:rPr>
              <w:t xml:space="preserve"> 09 18 07 по ГОСТ Р 58235-2018.</w:t>
            </w:r>
          </w:p>
          <w:p w:rsidR="00EB252C" w:rsidRPr="001A32C6" w:rsidRDefault="00EB252C" w:rsidP="002B34C7">
            <w:pPr>
              <w:keepNext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Дренируемый однокомпонентный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: неразъемный герметичный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стомный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мешок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нетканым покрытием (участником электронного аукциона указывается конкретно), с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антирефлюксным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и сливным клапанами; со встроенной плоской адгезивной пластиной для фиксации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уроприемника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на передней брюшной стенке  (п. 3.14. ГОСТ Р 58235-2018).</w:t>
            </w:r>
          </w:p>
          <w:p w:rsidR="00EB252C" w:rsidRPr="001A32C6" w:rsidRDefault="00EB252C" w:rsidP="002B34C7">
            <w:pPr>
              <w:keepNext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 Вырезаемое отверстие адгезивной пластины должно быть под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стому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до 55 мм включительно. </w:t>
            </w:r>
          </w:p>
          <w:p w:rsidR="00EB252C" w:rsidRPr="001A32C6" w:rsidRDefault="00EB252C" w:rsidP="002B34C7">
            <w:pPr>
              <w:keepNext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jc w:val="center"/>
              <w:rPr>
                <w:color w:val="000000"/>
                <w:sz w:val="22"/>
                <w:szCs w:val="22"/>
              </w:rPr>
            </w:pPr>
            <w:r w:rsidRPr="001A32C6">
              <w:rPr>
                <w:color w:val="000000"/>
                <w:sz w:val="22"/>
                <w:szCs w:val="22"/>
              </w:rPr>
              <w:t>2400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Двухкомпонентный дренируемый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в комплекте</w:t>
            </w:r>
            <w:r w:rsidR="00213E39">
              <w:rPr>
                <w:sz w:val="22"/>
                <w:szCs w:val="22"/>
                <w:lang w:eastAsia="ar-SA"/>
              </w:rPr>
              <w:t>: адгезивная пластина, плоская</w:t>
            </w:r>
            <w:bookmarkStart w:id="0" w:name="_GoBack"/>
            <w:bookmarkEnd w:id="0"/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  <w:p w:rsidR="00EB252C" w:rsidRPr="001A32C6" w:rsidRDefault="00EB252C" w:rsidP="002B34C7">
            <w:pPr>
              <w:widowControl w:val="0"/>
              <w:spacing w:line="240" w:lineRule="exact"/>
              <w:rPr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мешок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keepNext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b/>
                <w:sz w:val="22"/>
                <w:szCs w:val="22"/>
                <w:lang w:eastAsia="ar-SA"/>
              </w:rPr>
              <w:t>Уроприемники</w:t>
            </w:r>
            <w:proofErr w:type="spellEnd"/>
            <w:r w:rsidRPr="001A32C6">
              <w:rPr>
                <w:b/>
                <w:sz w:val="22"/>
                <w:szCs w:val="22"/>
                <w:lang w:eastAsia="ar-SA"/>
              </w:rPr>
              <w:t xml:space="preserve"> двухкомпонентные дренируемые</w:t>
            </w:r>
            <w:r w:rsidRPr="001A32C6">
              <w:rPr>
                <w:sz w:val="22"/>
                <w:szCs w:val="22"/>
                <w:lang w:eastAsia="ar-SA"/>
              </w:rPr>
              <w:t xml:space="preserve">, в комплекте плоская адгезивная пластина,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мешок 09 18 08 по ГОСТ Р 58235-2018. </w:t>
            </w:r>
          </w:p>
          <w:p w:rsidR="00EB252C" w:rsidRPr="001A32C6" w:rsidRDefault="00EB252C" w:rsidP="002B34C7">
            <w:pPr>
              <w:keepNext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соединения: сменяемого дренируемого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уростомного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мешка с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антирефлюксным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и сливным клапанами и плоской адгезивной (клеевой) пластины для фиксации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уроприемника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на передней брюшной стенке. </w:t>
            </w:r>
          </w:p>
          <w:p w:rsidR="00EB252C" w:rsidRPr="001A32C6" w:rsidRDefault="00EB252C" w:rsidP="002B34C7">
            <w:pPr>
              <w:spacing w:line="256" w:lineRule="auto"/>
              <w:ind w:firstLine="566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b/>
                <w:sz w:val="22"/>
                <w:szCs w:val="22"/>
                <w:lang w:eastAsia="ar-SA"/>
              </w:rPr>
              <w:t>Адгезивная пластина</w:t>
            </w:r>
            <w:r w:rsidRPr="001A32C6">
              <w:rPr>
                <w:sz w:val="22"/>
                <w:szCs w:val="22"/>
                <w:lang w:eastAsia="ar-SA"/>
              </w:rPr>
              <w:t xml:space="preserve">: Клеевая пластина с защитным покрытием, с шаблоном для вырезания отверстий под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стому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, с вырезаемыми, готовыми или моделируемыми отверстиями под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стому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</w:t>
            </w:r>
            <w:r w:rsidRPr="001A32C6">
              <w:rPr>
                <w:iCs/>
                <w:sz w:val="22"/>
                <w:szCs w:val="22"/>
                <w:lang w:eastAsia="en-US"/>
              </w:rPr>
              <w:t>(</w:t>
            </w:r>
            <w:r w:rsidRPr="001A32C6">
              <w:rPr>
                <w:sz w:val="22"/>
                <w:szCs w:val="22"/>
                <w:lang w:eastAsia="ar-SA"/>
              </w:rPr>
              <w:t>участником электронного аукциона указывается конкретно)</w:t>
            </w:r>
            <w:r w:rsidRPr="001A32C6">
              <w:rPr>
                <w:iCs/>
                <w:sz w:val="22"/>
                <w:szCs w:val="22"/>
                <w:lang w:eastAsia="en-US"/>
              </w:rPr>
              <w:t>,</w:t>
            </w:r>
            <w:r w:rsidRPr="001A32C6">
              <w:rPr>
                <w:sz w:val="22"/>
                <w:szCs w:val="22"/>
                <w:lang w:eastAsia="ar-SA"/>
              </w:rPr>
              <w:t xml:space="preserve"> предназначенная для фиксации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уроприемника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на передней брюшной стенке, соединяющаяся со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стомным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мешком (п. 3.1 ГОСТ Р 58235-2018). </w:t>
            </w:r>
            <w:r w:rsidRPr="001A32C6">
              <w:rPr>
                <w:b/>
                <w:sz w:val="22"/>
                <w:szCs w:val="22"/>
                <w:lang w:eastAsia="ar-SA"/>
              </w:rPr>
              <w:t>Плоская пластина</w:t>
            </w:r>
            <w:r w:rsidRPr="001A32C6">
              <w:rPr>
                <w:sz w:val="22"/>
                <w:szCs w:val="22"/>
                <w:lang w:eastAsia="en-US"/>
              </w:rPr>
              <w:t xml:space="preserve">: </w:t>
            </w:r>
            <w:r w:rsidRPr="001A32C6">
              <w:rPr>
                <w:sz w:val="22"/>
                <w:szCs w:val="22"/>
                <w:lang w:eastAsia="ar-SA"/>
              </w:rPr>
              <w:t xml:space="preserve">Адгезивная (клеевая) пластина плоской формы для фиксации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уроприемника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на передней брюшной стенке, соединяющаяся со </w:t>
            </w:r>
            <w:proofErr w:type="spellStart"/>
            <w:r w:rsidRPr="001A32C6">
              <w:rPr>
                <w:sz w:val="22"/>
                <w:szCs w:val="22"/>
                <w:lang w:eastAsia="ar-SA"/>
              </w:rPr>
              <w:t>стомным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мешком (п. 3.2 ГОСТ Р 58235-2018).</w:t>
            </w:r>
          </w:p>
          <w:p w:rsidR="00EB252C" w:rsidRPr="001A32C6" w:rsidRDefault="00EB252C" w:rsidP="002B34C7">
            <w:pPr>
              <w:spacing w:line="256" w:lineRule="auto"/>
              <w:ind w:firstLine="566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Адгезивная пластина с фланцем для крепления мешка, соответствующим фланцу мешка.</w:t>
            </w:r>
          </w:p>
          <w:p w:rsidR="00EB252C" w:rsidRPr="001A32C6" w:rsidRDefault="00EB252C" w:rsidP="002B34C7">
            <w:pPr>
              <w:spacing w:line="256" w:lineRule="auto"/>
              <w:ind w:firstLine="566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 xml:space="preserve"> </w:t>
            </w:r>
            <w:r w:rsidRPr="001A32C6">
              <w:rPr>
                <w:sz w:val="22"/>
                <w:szCs w:val="22"/>
                <w:lang w:eastAsia="en-US"/>
              </w:rPr>
              <w:t xml:space="preserve">Поставщик должен обеспечить Получателю индивидуальный подбор с учетом индивидуальных особенностей размера </w:t>
            </w:r>
            <w:proofErr w:type="spellStart"/>
            <w:r w:rsidRPr="001A32C6">
              <w:rPr>
                <w:sz w:val="22"/>
                <w:szCs w:val="22"/>
                <w:lang w:eastAsia="en-US"/>
              </w:rPr>
              <w:t>стомы</w:t>
            </w:r>
            <w:proofErr w:type="spellEnd"/>
            <w:r w:rsidRPr="001A32C6">
              <w:rPr>
                <w:sz w:val="22"/>
                <w:szCs w:val="22"/>
                <w:lang w:eastAsia="en-US"/>
              </w:rPr>
              <w:t xml:space="preserve"> Получателя.</w:t>
            </w:r>
            <w:r w:rsidRPr="001A32C6">
              <w:rPr>
                <w:sz w:val="22"/>
                <w:szCs w:val="22"/>
                <w:lang w:eastAsia="ar-SA"/>
              </w:rPr>
              <w:t xml:space="preserve"> 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ind w:firstLine="566"/>
              <w:jc w:val="both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jc w:val="center"/>
              <w:rPr>
                <w:color w:val="000000"/>
                <w:sz w:val="22"/>
                <w:szCs w:val="22"/>
              </w:rPr>
            </w:pPr>
            <w:r w:rsidRPr="001A32C6">
              <w:rPr>
                <w:color w:val="000000"/>
                <w:sz w:val="22"/>
                <w:szCs w:val="22"/>
              </w:rPr>
              <w:t>7000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2C" w:rsidRPr="001A32C6" w:rsidRDefault="00EB252C" w:rsidP="002B34C7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spacing w:line="256" w:lineRule="auto"/>
              <w:ind w:firstLine="424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A32C6">
              <w:rPr>
                <w:b/>
                <w:sz w:val="22"/>
                <w:szCs w:val="22"/>
                <w:lang w:eastAsia="ar-SA"/>
              </w:rPr>
              <w:t>Стомный</w:t>
            </w:r>
            <w:proofErr w:type="spellEnd"/>
            <w:r w:rsidRPr="001A32C6">
              <w:rPr>
                <w:b/>
                <w:sz w:val="22"/>
                <w:szCs w:val="22"/>
                <w:lang w:eastAsia="ar-SA"/>
              </w:rPr>
              <w:t xml:space="preserve"> мешок</w:t>
            </w:r>
            <w:r w:rsidRPr="001A32C6">
              <w:rPr>
                <w:sz w:val="22"/>
                <w:szCs w:val="22"/>
                <w:lang w:eastAsia="en-US"/>
              </w:rPr>
              <w:t xml:space="preserve">: Гибкая, герметичная, не пропускающая жидкости, воздух и запах емкость (контейнер) </w:t>
            </w:r>
            <w:proofErr w:type="gramStart"/>
            <w:r w:rsidRPr="001A32C6">
              <w:rPr>
                <w:sz w:val="22"/>
                <w:szCs w:val="22"/>
                <w:lang w:eastAsia="en-US"/>
              </w:rPr>
              <w:t>для сбора</w:t>
            </w:r>
            <w:proofErr w:type="gramEnd"/>
            <w:r w:rsidRPr="001A32C6">
              <w:rPr>
                <w:sz w:val="22"/>
                <w:szCs w:val="22"/>
                <w:lang w:eastAsia="en-US"/>
              </w:rPr>
              <w:t xml:space="preserve"> мочевого отделяемого из </w:t>
            </w:r>
            <w:proofErr w:type="spellStart"/>
            <w:r w:rsidRPr="001A32C6">
              <w:rPr>
                <w:sz w:val="22"/>
                <w:szCs w:val="22"/>
                <w:lang w:eastAsia="en-US"/>
              </w:rPr>
              <w:t>стомы</w:t>
            </w:r>
            <w:proofErr w:type="spellEnd"/>
            <w:r w:rsidRPr="001A32C6">
              <w:rPr>
                <w:sz w:val="22"/>
                <w:szCs w:val="22"/>
                <w:lang w:eastAsia="en-US"/>
              </w:rPr>
              <w:t xml:space="preserve"> (п. 3.4 ГОСТ Р 58235-2018).</w:t>
            </w:r>
          </w:p>
          <w:p w:rsidR="00EB252C" w:rsidRPr="001A32C6" w:rsidRDefault="00EB252C" w:rsidP="002B34C7">
            <w:pPr>
              <w:keepNext/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1A32C6">
              <w:rPr>
                <w:sz w:val="22"/>
                <w:szCs w:val="22"/>
                <w:lang w:eastAsia="ar-SA"/>
              </w:rPr>
              <w:t xml:space="preserve"> мешок с фланцем для крепления мешка к пластине, соответствующим фланцу пластины.</w:t>
            </w:r>
          </w:p>
          <w:p w:rsidR="00EB252C" w:rsidRPr="001A32C6" w:rsidRDefault="00EB252C" w:rsidP="002B34C7">
            <w:pPr>
              <w:spacing w:line="256" w:lineRule="auto"/>
              <w:ind w:firstLine="424"/>
              <w:jc w:val="both"/>
              <w:rPr>
                <w:sz w:val="22"/>
                <w:szCs w:val="22"/>
                <w:lang w:eastAsia="ar-SA"/>
              </w:rPr>
            </w:pPr>
            <w:r w:rsidRPr="001A32C6">
              <w:rPr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jc w:val="center"/>
              <w:rPr>
                <w:color w:val="000000"/>
                <w:sz w:val="22"/>
                <w:szCs w:val="22"/>
              </w:rPr>
            </w:pPr>
            <w:r w:rsidRPr="001A32C6">
              <w:rPr>
                <w:color w:val="000000"/>
                <w:sz w:val="22"/>
                <w:szCs w:val="22"/>
              </w:rPr>
              <w:t>21000</w:t>
            </w:r>
          </w:p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B252C" w:rsidRPr="001A32C6" w:rsidTr="002B34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C" w:rsidRPr="001A32C6" w:rsidRDefault="00EB252C" w:rsidP="002B34C7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2C" w:rsidRPr="001A32C6" w:rsidRDefault="00EB252C" w:rsidP="002B34C7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C" w:rsidRPr="001A32C6" w:rsidRDefault="00EB252C" w:rsidP="002B34C7">
            <w:pPr>
              <w:spacing w:line="25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C" w:rsidRPr="001A32C6" w:rsidRDefault="00EB252C" w:rsidP="002B34C7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1A32C6">
              <w:rPr>
                <w:bCs/>
                <w:sz w:val="22"/>
                <w:szCs w:val="22"/>
                <w:lang w:eastAsia="ar-SA"/>
              </w:rPr>
              <w:fldChar w:fldCharType="begin"/>
            </w:r>
            <w:r w:rsidRPr="001A32C6">
              <w:rPr>
                <w:bCs/>
                <w:sz w:val="22"/>
                <w:szCs w:val="22"/>
                <w:lang w:eastAsia="ar-SA"/>
              </w:rPr>
              <w:instrText xml:space="preserve"> =SUM(ABOVE) </w:instrText>
            </w:r>
            <w:r w:rsidRPr="001A32C6">
              <w:rPr>
                <w:bCs/>
                <w:sz w:val="22"/>
                <w:szCs w:val="22"/>
                <w:lang w:eastAsia="ar-SA"/>
              </w:rPr>
              <w:fldChar w:fldCharType="separate"/>
            </w:r>
            <w:r w:rsidRPr="001A32C6">
              <w:rPr>
                <w:bCs/>
                <w:noProof/>
                <w:sz w:val="22"/>
                <w:szCs w:val="22"/>
                <w:lang w:eastAsia="ar-SA"/>
              </w:rPr>
              <w:t>46410</w:t>
            </w:r>
            <w:r w:rsidRPr="001A32C6">
              <w:rPr>
                <w:bCs/>
                <w:sz w:val="22"/>
                <w:szCs w:val="22"/>
                <w:lang w:eastAsia="ar-SA"/>
              </w:rPr>
              <w:fldChar w:fldCharType="end"/>
            </w:r>
          </w:p>
        </w:tc>
      </w:tr>
    </w:tbl>
    <w:p w:rsidR="00EB252C" w:rsidRDefault="00EB252C" w:rsidP="00EB252C">
      <w:pPr>
        <w:widowControl w:val="0"/>
        <w:jc w:val="both"/>
        <w:rPr>
          <w:b/>
          <w:sz w:val="22"/>
          <w:szCs w:val="22"/>
        </w:rPr>
      </w:pP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 xml:space="preserve">Наименование Товара в соответствии с Приказом Минтруда России от </w:t>
      </w:r>
      <w:proofErr w:type="gramStart"/>
      <w:r>
        <w:rPr>
          <w:i/>
          <w:sz w:val="22"/>
        </w:rPr>
        <w:t>13.02.2018  №</w:t>
      </w:r>
      <w:proofErr w:type="gramEnd"/>
      <w:r>
        <w:rPr>
          <w:i/>
          <w:sz w:val="22"/>
        </w:rPr>
        <w:t xml:space="preserve">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>Специальные средства при нарушении функции выделения должны соответствовать:</w:t>
      </w: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>- ГОСТ Р 58235-2018 «Специальные средства при нарушении функции выделения. Термины и определения. Классификация»,</w:t>
      </w: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>- ГОСТ ИСО 10993-1-2021 Межгосударственный стандарт «Изделия медицинские. Оценка биологического действия медицинских изделий. Часть 1. Оценка и исследования в процессе менеджмента риска»,</w:t>
      </w: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i/>
          <w:sz w:val="22"/>
        </w:rPr>
        <w:t>цитотоксичность</w:t>
      </w:r>
      <w:proofErr w:type="spellEnd"/>
      <w:r>
        <w:rPr>
          <w:i/>
          <w:sz w:val="22"/>
        </w:rPr>
        <w:t xml:space="preserve">: методы </w:t>
      </w:r>
      <w:proofErr w:type="spellStart"/>
      <w:r>
        <w:rPr>
          <w:i/>
          <w:sz w:val="22"/>
        </w:rPr>
        <w:t>in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vitro</w:t>
      </w:r>
      <w:proofErr w:type="spellEnd"/>
      <w:r>
        <w:rPr>
          <w:i/>
          <w:sz w:val="22"/>
        </w:rPr>
        <w:t>»,</w:t>
      </w: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>Срок службы товара не менее сроков,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EB252C" w:rsidRDefault="00EB252C" w:rsidP="00EB252C">
      <w:pPr>
        <w:widowControl w:val="0"/>
        <w:ind w:firstLine="709"/>
        <w:jc w:val="both"/>
        <w:rPr>
          <w:i/>
          <w:sz w:val="22"/>
        </w:rPr>
      </w:pPr>
      <w:r>
        <w:rPr>
          <w:i/>
          <w:sz w:val="22"/>
        </w:rPr>
        <w:t>Инструкция, содержащая информацию по применению специальных средств при нарушении функции выделения, должна быть вложена в каждую упаковку поставляемого товара.</w:t>
      </w:r>
    </w:p>
    <w:p w:rsidR="003B03D7" w:rsidRDefault="00EB252C" w:rsidP="00EB252C">
      <w:pPr>
        <w:widowControl w:val="0"/>
        <w:ind w:left="-567" w:firstLine="709"/>
        <w:jc w:val="both"/>
        <w:rPr>
          <w:i/>
        </w:rPr>
      </w:pPr>
      <w:r>
        <w:rPr>
          <w:i/>
          <w:sz w:val="22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7E68D1" w:rsidRDefault="007E68D1" w:rsidP="00DA6CEA"/>
    <w:sectPr w:rsidR="007E68D1" w:rsidSect="00C02F0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F"/>
    <w:rsid w:val="000215AB"/>
    <w:rsid w:val="0003747E"/>
    <w:rsid w:val="00046BBB"/>
    <w:rsid w:val="000477B8"/>
    <w:rsid w:val="000537EE"/>
    <w:rsid w:val="00061527"/>
    <w:rsid w:val="00070734"/>
    <w:rsid w:val="000A315C"/>
    <w:rsid w:val="000A7881"/>
    <w:rsid w:val="000B0CC2"/>
    <w:rsid w:val="000C6D9E"/>
    <w:rsid w:val="00102967"/>
    <w:rsid w:val="00114241"/>
    <w:rsid w:val="001474FA"/>
    <w:rsid w:val="00173B3F"/>
    <w:rsid w:val="00176CFB"/>
    <w:rsid w:val="00181B44"/>
    <w:rsid w:val="00190E2B"/>
    <w:rsid w:val="001A22C8"/>
    <w:rsid w:val="001A238A"/>
    <w:rsid w:val="001D4E93"/>
    <w:rsid w:val="001E7AC1"/>
    <w:rsid w:val="001E7B19"/>
    <w:rsid w:val="00213E39"/>
    <w:rsid w:val="00234667"/>
    <w:rsid w:val="002374A6"/>
    <w:rsid w:val="00260637"/>
    <w:rsid w:val="00262C09"/>
    <w:rsid w:val="00263F90"/>
    <w:rsid w:val="002647F8"/>
    <w:rsid w:val="002714EC"/>
    <w:rsid w:val="002841A4"/>
    <w:rsid w:val="002952B7"/>
    <w:rsid w:val="002B62D1"/>
    <w:rsid w:val="002C6D49"/>
    <w:rsid w:val="002E2C83"/>
    <w:rsid w:val="002E5E4D"/>
    <w:rsid w:val="002F6451"/>
    <w:rsid w:val="00304A6D"/>
    <w:rsid w:val="003356D5"/>
    <w:rsid w:val="0035757E"/>
    <w:rsid w:val="00367EB3"/>
    <w:rsid w:val="003B03D7"/>
    <w:rsid w:val="003C06AA"/>
    <w:rsid w:val="003C1D38"/>
    <w:rsid w:val="003F288F"/>
    <w:rsid w:val="0040637C"/>
    <w:rsid w:val="00466C5C"/>
    <w:rsid w:val="00467219"/>
    <w:rsid w:val="00467819"/>
    <w:rsid w:val="00470304"/>
    <w:rsid w:val="00492648"/>
    <w:rsid w:val="004931E9"/>
    <w:rsid w:val="004A0FFC"/>
    <w:rsid w:val="004A3C15"/>
    <w:rsid w:val="004D29F1"/>
    <w:rsid w:val="004E67AA"/>
    <w:rsid w:val="004F1109"/>
    <w:rsid w:val="00500739"/>
    <w:rsid w:val="00502BD0"/>
    <w:rsid w:val="0052185C"/>
    <w:rsid w:val="005259B3"/>
    <w:rsid w:val="00534AB9"/>
    <w:rsid w:val="00541B1E"/>
    <w:rsid w:val="0055116E"/>
    <w:rsid w:val="0057562B"/>
    <w:rsid w:val="005B40C2"/>
    <w:rsid w:val="005D23D6"/>
    <w:rsid w:val="005E2D30"/>
    <w:rsid w:val="006469BA"/>
    <w:rsid w:val="00647D2F"/>
    <w:rsid w:val="0066604A"/>
    <w:rsid w:val="00672899"/>
    <w:rsid w:val="006A3CB9"/>
    <w:rsid w:val="006C4C7F"/>
    <w:rsid w:val="006C6891"/>
    <w:rsid w:val="006F3E35"/>
    <w:rsid w:val="00722546"/>
    <w:rsid w:val="007378B3"/>
    <w:rsid w:val="00746ABB"/>
    <w:rsid w:val="007524E0"/>
    <w:rsid w:val="007539C1"/>
    <w:rsid w:val="00770337"/>
    <w:rsid w:val="00776BCE"/>
    <w:rsid w:val="007B0271"/>
    <w:rsid w:val="007B601C"/>
    <w:rsid w:val="007C71E7"/>
    <w:rsid w:val="007D529F"/>
    <w:rsid w:val="007E68D1"/>
    <w:rsid w:val="007F2B73"/>
    <w:rsid w:val="008007BB"/>
    <w:rsid w:val="008337F7"/>
    <w:rsid w:val="00836797"/>
    <w:rsid w:val="008726D7"/>
    <w:rsid w:val="0087280D"/>
    <w:rsid w:val="008939B5"/>
    <w:rsid w:val="008A6153"/>
    <w:rsid w:val="008B4931"/>
    <w:rsid w:val="008C2B9C"/>
    <w:rsid w:val="008E724D"/>
    <w:rsid w:val="008F128C"/>
    <w:rsid w:val="00915D7A"/>
    <w:rsid w:val="00916D5A"/>
    <w:rsid w:val="00916DE4"/>
    <w:rsid w:val="00946F03"/>
    <w:rsid w:val="00960B16"/>
    <w:rsid w:val="00961DDD"/>
    <w:rsid w:val="00983F24"/>
    <w:rsid w:val="0099599D"/>
    <w:rsid w:val="009A2488"/>
    <w:rsid w:val="009C0516"/>
    <w:rsid w:val="009C5925"/>
    <w:rsid w:val="00A05121"/>
    <w:rsid w:val="00A172ED"/>
    <w:rsid w:val="00A61934"/>
    <w:rsid w:val="00AA1CC9"/>
    <w:rsid w:val="00AC0E59"/>
    <w:rsid w:val="00AD224C"/>
    <w:rsid w:val="00AE1991"/>
    <w:rsid w:val="00AE53E1"/>
    <w:rsid w:val="00B00DAB"/>
    <w:rsid w:val="00B12C14"/>
    <w:rsid w:val="00B35097"/>
    <w:rsid w:val="00B35F87"/>
    <w:rsid w:val="00B37227"/>
    <w:rsid w:val="00B408AE"/>
    <w:rsid w:val="00B47AD3"/>
    <w:rsid w:val="00B510C2"/>
    <w:rsid w:val="00B550CD"/>
    <w:rsid w:val="00B76BAE"/>
    <w:rsid w:val="00B96942"/>
    <w:rsid w:val="00BB1A64"/>
    <w:rsid w:val="00C02F08"/>
    <w:rsid w:val="00C12577"/>
    <w:rsid w:val="00C252E6"/>
    <w:rsid w:val="00C44C53"/>
    <w:rsid w:val="00C55879"/>
    <w:rsid w:val="00C80617"/>
    <w:rsid w:val="00C82073"/>
    <w:rsid w:val="00C82C8C"/>
    <w:rsid w:val="00C95D53"/>
    <w:rsid w:val="00CA2902"/>
    <w:rsid w:val="00CB02E5"/>
    <w:rsid w:val="00CB08CB"/>
    <w:rsid w:val="00CC7ED5"/>
    <w:rsid w:val="00CD1F87"/>
    <w:rsid w:val="00D329C0"/>
    <w:rsid w:val="00D33F9A"/>
    <w:rsid w:val="00D53A38"/>
    <w:rsid w:val="00D55A19"/>
    <w:rsid w:val="00D8189D"/>
    <w:rsid w:val="00D87088"/>
    <w:rsid w:val="00DA0DED"/>
    <w:rsid w:val="00DA6CEA"/>
    <w:rsid w:val="00DB2AE1"/>
    <w:rsid w:val="00DE1F9B"/>
    <w:rsid w:val="00DE5C9F"/>
    <w:rsid w:val="00E22914"/>
    <w:rsid w:val="00E25FCD"/>
    <w:rsid w:val="00E519B3"/>
    <w:rsid w:val="00E619C5"/>
    <w:rsid w:val="00E85BA1"/>
    <w:rsid w:val="00EA0C0D"/>
    <w:rsid w:val="00EB252C"/>
    <w:rsid w:val="00ED601D"/>
    <w:rsid w:val="00EF2713"/>
    <w:rsid w:val="00F26257"/>
    <w:rsid w:val="00F27349"/>
    <w:rsid w:val="00F27928"/>
    <w:rsid w:val="00F52655"/>
    <w:rsid w:val="00F76FD1"/>
    <w:rsid w:val="00F93F07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0B32-CAF0-4072-A0D8-0BDAE5CC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67819"/>
    <w:pPr>
      <w:suppressAutoHyphens/>
      <w:spacing w:before="100" w:after="100"/>
    </w:pPr>
    <w:rPr>
      <w:kern w:val="2"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B00D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00D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01zagolovok">
    <w:name w:val="01_zagolovok"/>
    <w:basedOn w:val="a"/>
    <w:rsid w:val="00173B3F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character" w:styleId="a5">
    <w:name w:val="Hyperlink"/>
    <w:basedOn w:val="a0"/>
    <w:uiPriority w:val="99"/>
    <w:semiHidden/>
    <w:unhideWhenUsed/>
    <w:rsid w:val="00367EB3"/>
    <w:rPr>
      <w:color w:val="0000FF"/>
      <w:u w:val="single"/>
    </w:rPr>
  </w:style>
  <w:style w:type="table" w:styleId="a6">
    <w:name w:val="Table Grid"/>
    <w:basedOn w:val="a1"/>
    <w:uiPriority w:val="59"/>
    <w:rsid w:val="008007B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DE8A-CBA9-46DC-9506-35FBF62A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О.А.</dc:creator>
  <cp:lastModifiedBy>Будина Диана Михайловна</cp:lastModifiedBy>
  <cp:revision>31</cp:revision>
  <cp:lastPrinted>2019-01-28T09:15:00Z</cp:lastPrinted>
  <dcterms:created xsi:type="dcterms:W3CDTF">2022-04-12T09:26:00Z</dcterms:created>
  <dcterms:modified xsi:type="dcterms:W3CDTF">2022-11-28T14:24:00Z</dcterms:modified>
</cp:coreProperties>
</file>