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33" w:rsidRPr="00D44C95" w:rsidRDefault="006B7233" w:rsidP="006B7233">
      <w:pPr>
        <w:widowControl w:val="0"/>
        <w:spacing w:after="0"/>
        <w:ind w:firstLine="709"/>
        <w:jc w:val="right"/>
        <w:rPr>
          <w:i/>
          <w:sz w:val="22"/>
          <w:szCs w:val="22"/>
          <w:lang w:eastAsia="ar-SA"/>
        </w:rPr>
      </w:pPr>
      <w:r w:rsidRPr="00D44C95">
        <w:rPr>
          <w:i/>
          <w:sz w:val="22"/>
          <w:szCs w:val="22"/>
          <w:lang w:eastAsia="ar-SA"/>
        </w:rPr>
        <w:t>Приложение №1</w:t>
      </w:r>
    </w:p>
    <w:p w:rsidR="006B7233" w:rsidRDefault="006B7233" w:rsidP="006B7233">
      <w:pPr>
        <w:widowControl w:val="0"/>
        <w:spacing w:after="0"/>
        <w:ind w:firstLine="709"/>
        <w:jc w:val="right"/>
        <w:rPr>
          <w:i/>
          <w:sz w:val="22"/>
          <w:szCs w:val="22"/>
          <w:lang w:eastAsia="ar-SA"/>
        </w:rPr>
      </w:pPr>
      <w:r w:rsidRPr="00D44C95">
        <w:rPr>
          <w:i/>
          <w:sz w:val="22"/>
          <w:szCs w:val="22"/>
          <w:lang w:eastAsia="ar-SA"/>
        </w:rPr>
        <w:t>к извещению о проведении</w:t>
      </w:r>
    </w:p>
    <w:p w:rsidR="006B7233" w:rsidRPr="00D44C95" w:rsidRDefault="006B7233" w:rsidP="006B7233">
      <w:pPr>
        <w:widowControl w:val="0"/>
        <w:spacing w:after="0"/>
        <w:ind w:firstLine="709"/>
        <w:jc w:val="right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 совместного открытого конкурса</w:t>
      </w:r>
    </w:p>
    <w:p w:rsidR="006B7233" w:rsidRDefault="006B7233" w:rsidP="006D42B9">
      <w:pPr>
        <w:keepNext/>
        <w:keepLines/>
        <w:spacing w:after="0"/>
        <w:jc w:val="center"/>
        <w:rPr>
          <w:b/>
          <w:sz w:val="22"/>
          <w:szCs w:val="22"/>
        </w:rPr>
      </w:pPr>
    </w:p>
    <w:p w:rsidR="006D42B9" w:rsidRPr="006D42B9" w:rsidRDefault="006D42B9" w:rsidP="006D42B9">
      <w:pPr>
        <w:keepNext/>
        <w:keepLines/>
        <w:spacing w:after="0"/>
        <w:jc w:val="center"/>
        <w:rPr>
          <w:b/>
          <w:sz w:val="22"/>
          <w:szCs w:val="22"/>
        </w:rPr>
      </w:pPr>
      <w:r w:rsidRPr="006D42B9">
        <w:rPr>
          <w:b/>
          <w:sz w:val="22"/>
          <w:szCs w:val="22"/>
        </w:rPr>
        <w:t>Описание объекта закупки</w:t>
      </w:r>
    </w:p>
    <w:p w:rsidR="006D42B9" w:rsidRPr="006D42B9" w:rsidRDefault="006D42B9" w:rsidP="006D42B9">
      <w:pPr>
        <w:keepNext/>
        <w:keepLines/>
        <w:spacing w:after="0"/>
        <w:jc w:val="center"/>
        <w:rPr>
          <w:b/>
          <w:sz w:val="22"/>
          <w:szCs w:val="22"/>
        </w:rPr>
      </w:pPr>
      <w:r w:rsidRPr="006D42B9">
        <w:rPr>
          <w:b/>
          <w:sz w:val="22"/>
          <w:szCs w:val="22"/>
        </w:rPr>
        <w:t>(Техническое задание)</w:t>
      </w:r>
    </w:p>
    <w:p w:rsidR="006D42B9" w:rsidRDefault="006D42B9" w:rsidP="006D42B9">
      <w:pPr>
        <w:keepNext/>
        <w:keepLines/>
        <w:spacing w:after="0"/>
        <w:jc w:val="center"/>
        <w:rPr>
          <w:sz w:val="22"/>
          <w:szCs w:val="22"/>
        </w:rPr>
      </w:pPr>
    </w:p>
    <w:p w:rsidR="006D42B9" w:rsidRDefault="006D42B9" w:rsidP="006D42B9">
      <w:pPr>
        <w:keepNext/>
        <w:keepLines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Выполнение работ по изготовлению </w:t>
      </w:r>
      <w:r w:rsidR="00AF38F3">
        <w:rPr>
          <w:sz w:val="22"/>
          <w:szCs w:val="22"/>
        </w:rPr>
        <w:t xml:space="preserve">сложной </w:t>
      </w:r>
      <w:r>
        <w:rPr>
          <w:sz w:val="22"/>
          <w:szCs w:val="22"/>
        </w:rPr>
        <w:t>ортопедической обуви для инвалидов</w:t>
      </w:r>
      <w:r>
        <w:rPr>
          <w:color w:val="000000"/>
          <w:sz w:val="22"/>
          <w:szCs w:val="22"/>
          <w:shd w:val="clear" w:color="auto" w:fill="FFFFFF"/>
        </w:rPr>
        <w:t xml:space="preserve"> в </w:t>
      </w:r>
      <w:r>
        <w:rPr>
          <w:sz w:val="22"/>
          <w:szCs w:val="22"/>
        </w:rPr>
        <w:t>202</w:t>
      </w:r>
      <w:r w:rsidR="00B93461">
        <w:rPr>
          <w:sz w:val="22"/>
          <w:szCs w:val="22"/>
        </w:rPr>
        <w:t>2</w:t>
      </w:r>
      <w:r>
        <w:rPr>
          <w:sz w:val="22"/>
          <w:szCs w:val="22"/>
        </w:rPr>
        <w:t xml:space="preserve"> году</w:t>
      </w:r>
    </w:p>
    <w:p w:rsidR="006D42B9" w:rsidRDefault="006D42B9" w:rsidP="006D42B9">
      <w:pPr>
        <w:keepNext/>
        <w:keepLines/>
        <w:spacing w:after="0"/>
        <w:jc w:val="center"/>
        <w:rPr>
          <w:sz w:val="22"/>
          <w:szCs w:val="22"/>
        </w:rPr>
      </w:pPr>
    </w:p>
    <w:p w:rsidR="006D42B9" w:rsidRDefault="006D42B9" w:rsidP="00A8603C">
      <w:pPr>
        <w:autoSpaceDE w:val="0"/>
        <w:autoSpaceDN w:val="0"/>
        <w:adjustRightInd w:val="0"/>
        <w:spacing w:after="0"/>
        <w:ind w:left="-142" w:right="-284" w:firstLine="284"/>
        <w:rPr>
          <w:sz w:val="22"/>
          <w:szCs w:val="22"/>
        </w:rPr>
      </w:pPr>
      <w:r>
        <w:rPr>
          <w:sz w:val="22"/>
          <w:szCs w:val="22"/>
        </w:rPr>
        <w:t xml:space="preserve">        Исполнитель должен осуществить </w:t>
      </w:r>
      <w:r>
        <w:rPr>
          <w:rFonts w:eastAsia="Calibri"/>
          <w:sz w:val="22"/>
          <w:szCs w:val="22"/>
          <w:lang w:eastAsia="en-US"/>
        </w:rPr>
        <w:t>выполнение работ по изготовлению</w:t>
      </w:r>
      <w:r w:rsidR="00AF38F3">
        <w:rPr>
          <w:rFonts w:eastAsia="Calibri"/>
          <w:sz w:val="22"/>
          <w:szCs w:val="22"/>
          <w:lang w:eastAsia="en-US"/>
        </w:rPr>
        <w:t xml:space="preserve"> сложной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</w:rPr>
        <w:t xml:space="preserve">ортопедической обуви для Получателей </w:t>
      </w:r>
      <w:r>
        <w:rPr>
          <w:rFonts w:eastAsia="Calibri"/>
          <w:sz w:val="22"/>
          <w:szCs w:val="22"/>
          <w:lang w:eastAsia="en-US"/>
        </w:rPr>
        <w:t>в 202</w:t>
      </w:r>
      <w:r w:rsidR="00925A3B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году </w:t>
      </w:r>
      <w:r>
        <w:rPr>
          <w:sz w:val="22"/>
          <w:szCs w:val="22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D42B9" w:rsidRDefault="006D42B9" w:rsidP="006D42B9">
      <w:pPr>
        <w:autoSpaceDE w:val="0"/>
        <w:autoSpaceDN w:val="0"/>
        <w:adjustRightInd w:val="0"/>
        <w:spacing w:after="0"/>
        <w:ind w:left="-1134" w:right="-284" w:firstLine="709"/>
        <w:rPr>
          <w:rFonts w:eastAsia="Calibri"/>
          <w:b/>
          <w:sz w:val="22"/>
          <w:szCs w:val="22"/>
        </w:rPr>
      </w:pPr>
    </w:p>
    <w:p w:rsidR="00A16403" w:rsidRDefault="006D42B9" w:rsidP="00B93461">
      <w:pPr>
        <w:keepNext/>
        <w:keepLines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Срок выполнения работ:</w:t>
      </w:r>
      <w:r>
        <w:rPr>
          <w:rFonts w:eastAsia="Calibri"/>
          <w:sz w:val="22"/>
          <w:szCs w:val="22"/>
        </w:rPr>
        <w:t xml:space="preserve"> </w:t>
      </w:r>
    </w:p>
    <w:p w:rsidR="000751F7" w:rsidRPr="000751F7" w:rsidRDefault="000751F7" w:rsidP="000751F7">
      <w:pPr>
        <w:spacing w:after="0"/>
        <w:rPr>
          <w:rFonts w:eastAsia="Calibri"/>
        </w:rPr>
      </w:pPr>
      <w:r w:rsidRPr="000751F7">
        <w:rPr>
          <w:rFonts w:eastAsia="Calibri"/>
          <w:b/>
          <w:i/>
        </w:rPr>
        <w:t>Заказчик 1. Государственное учреждение – Тверское региональное отделение Фонда социального страхования Российской Федерации:</w:t>
      </w:r>
      <w:r w:rsidRPr="000751F7">
        <w:rPr>
          <w:rFonts w:eastAsia="Calibri"/>
        </w:rPr>
        <w:t xml:space="preserve"> со дня, следующего за днем заключения государственного контракта до 01.05.2023 года, включительно.</w:t>
      </w:r>
    </w:p>
    <w:p w:rsidR="000751F7" w:rsidRPr="000751F7" w:rsidRDefault="000751F7" w:rsidP="000751F7">
      <w:pPr>
        <w:spacing w:after="0"/>
        <w:rPr>
          <w:rFonts w:eastAsia="Calibri"/>
        </w:rPr>
      </w:pPr>
      <w:r w:rsidRPr="000751F7">
        <w:rPr>
          <w:rFonts w:eastAsia="Calibri"/>
          <w:b/>
          <w:i/>
        </w:rPr>
        <w:t>Заказчик 2. Государственное учреждение – Калужское региональное отделение Фонда социального страхования Российской Федерации:</w:t>
      </w:r>
      <w:r w:rsidRPr="000751F7">
        <w:rPr>
          <w:rFonts w:eastAsia="Calibri"/>
        </w:rPr>
        <w:t xml:space="preserve"> со дня, следующего за днем заключения государственного контракта до 01.05.2023 года, включительно.</w:t>
      </w:r>
    </w:p>
    <w:p w:rsidR="000751F7" w:rsidRPr="000751F7" w:rsidRDefault="000751F7" w:rsidP="000751F7">
      <w:pPr>
        <w:spacing w:after="0"/>
        <w:rPr>
          <w:rFonts w:eastAsia="Calibri"/>
        </w:rPr>
      </w:pPr>
      <w:r w:rsidRPr="000751F7">
        <w:rPr>
          <w:rFonts w:eastAsia="Calibri"/>
          <w:b/>
          <w:i/>
        </w:rPr>
        <w:t>Заказчик 3. Государственное учреждение - Смоленское региональное отделение Фонда социального страхования Российской Федерации:</w:t>
      </w:r>
      <w:r w:rsidRPr="000751F7">
        <w:rPr>
          <w:rFonts w:eastAsia="Calibri"/>
        </w:rPr>
        <w:t xml:space="preserve"> со дня, следующего за днем заключения государственного контракта до 01.05.2023 года, включительно.</w:t>
      </w:r>
    </w:p>
    <w:p w:rsidR="000751F7" w:rsidRPr="000751F7" w:rsidRDefault="000751F7" w:rsidP="000751F7">
      <w:pPr>
        <w:spacing w:after="0"/>
        <w:rPr>
          <w:rFonts w:eastAsia="Calibri"/>
        </w:rPr>
      </w:pPr>
      <w:r w:rsidRPr="000751F7">
        <w:rPr>
          <w:rFonts w:eastAsia="Calibri"/>
          <w:b/>
          <w:i/>
        </w:rPr>
        <w:t>Заказчик 4. Государственное учреждение - Московское региональное отделение Фонда социального страхования Российской Федерации:</w:t>
      </w:r>
      <w:r w:rsidRPr="000751F7">
        <w:rPr>
          <w:rFonts w:eastAsia="Calibri"/>
        </w:rPr>
        <w:t xml:space="preserve"> со дня, следующего за днем заключения государственного контракта до 01.05.2023 года, включительно.</w:t>
      </w:r>
    </w:p>
    <w:p w:rsidR="006D42B9" w:rsidRDefault="006D42B9" w:rsidP="006D42B9">
      <w:pPr>
        <w:spacing w:after="0"/>
        <w:ind w:left="-709" w:right="-284"/>
        <w:rPr>
          <w:b/>
          <w:sz w:val="22"/>
          <w:szCs w:val="22"/>
        </w:rPr>
      </w:pPr>
    </w:p>
    <w:p w:rsidR="006D42B9" w:rsidRDefault="006D42B9" w:rsidP="00A8603C">
      <w:pPr>
        <w:spacing w:after="0"/>
        <w:ind w:left="-142" w:right="-284"/>
        <w:jc w:val="left"/>
        <w:rPr>
          <w:sz w:val="22"/>
          <w:szCs w:val="22"/>
        </w:rPr>
      </w:pPr>
      <w:r>
        <w:rPr>
          <w:sz w:val="22"/>
          <w:szCs w:val="22"/>
        </w:rPr>
        <w:t>1. Характеристики объекта закупки.</w:t>
      </w:r>
    </w:p>
    <w:p w:rsidR="006D42B9" w:rsidRDefault="006D42B9" w:rsidP="00A8603C">
      <w:pPr>
        <w:spacing w:after="0"/>
        <w:ind w:left="-142" w:right="-284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Cs/>
          <w:sz w:val="22"/>
          <w:szCs w:val="22"/>
        </w:rPr>
        <w:t>Функциональные и технические характеристики объекта закупки:</w:t>
      </w:r>
    </w:p>
    <w:p w:rsidR="006D42B9" w:rsidRDefault="006D42B9" w:rsidP="006D42B9">
      <w:pPr>
        <w:spacing w:after="0"/>
        <w:rPr>
          <w:sz w:val="22"/>
          <w:szCs w:val="22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0"/>
        <w:gridCol w:w="5243"/>
        <w:gridCol w:w="1842"/>
        <w:gridCol w:w="1276"/>
      </w:tblGrid>
      <w:tr w:rsidR="006D42B9" w:rsidTr="006D4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Изделий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</w:tc>
      </w:tr>
      <w:tr w:rsidR="006D42B9" w:rsidTr="006D42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</w:t>
            </w:r>
            <w:r w:rsidR="007824F8">
              <w:rPr>
                <w:sz w:val="20"/>
                <w:szCs w:val="20"/>
              </w:rPr>
              <w:t>сложная без утепленной подкладки</w:t>
            </w:r>
            <w:r>
              <w:rPr>
                <w:sz w:val="20"/>
                <w:szCs w:val="20"/>
              </w:rPr>
              <w:t xml:space="preserve"> (без учета детей –</w:t>
            </w:r>
            <w:proofErr w:type="gramStart"/>
            <w:r>
              <w:rPr>
                <w:sz w:val="20"/>
                <w:szCs w:val="20"/>
              </w:rPr>
              <w:t>инвалидов)  (</w:t>
            </w:r>
            <w:proofErr w:type="gramEnd"/>
            <w:r>
              <w:rPr>
                <w:sz w:val="20"/>
                <w:szCs w:val="20"/>
              </w:rPr>
              <w:t>пара)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(9-01-01)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C" w:rsidRPr="00F954DC" w:rsidRDefault="00F954DC" w:rsidP="00F954D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954DC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F954DC" w:rsidRPr="00F954DC" w:rsidRDefault="00F954DC" w:rsidP="00F954D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954DC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954DC" w:rsidRPr="00F954DC" w:rsidRDefault="00F954DC" w:rsidP="00F954D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954DC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F954DC">
              <w:rPr>
                <w:sz w:val="22"/>
                <w:szCs w:val="22"/>
              </w:rPr>
              <w:t>сгибательной</w:t>
            </w:r>
            <w:proofErr w:type="spellEnd"/>
            <w:r w:rsidRPr="00F954DC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F954DC">
              <w:rPr>
                <w:sz w:val="22"/>
                <w:szCs w:val="22"/>
              </w:rPr>
              <w:t>межстелечный</w:t>
            </w:r>
            <w:proofErr w:type="spellEnd"/>
            <w:r w:rsidRPr="00F954DC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954DC" w:rsidRPr="00F954DC" w:rsidRDefault="00F954DC" w:rsidP="00F954D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954DC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F954DC">
              <w:rPr>
                <w:sz w:val="22"/>
                <w:szCs w:val="22"/>
              </w:rPr>
              <w:t>варусной</w:t>
            </w:r>
            <w:proofErr w:type="spellEnd"/>
            <w:r w:rsidRPr="00F954DC">
              <w:rPr>
                <w:sz w:val="22"/>
                <w:szCs w:val="22"/>
              </w:rPr>
              <w:t xml:space="preserve">, </w:t>
            </w:r>
            <w:proofErr w:type="spellStart"/>
            <w:r w:rsidRPr="00F954DC">
              <w:rPr>
                <w:sz w:val="22"/>
                <w:szCs w:val="22"/>
              </w:rPr>
              <w:t>эквинусной</w:t>
            </w:r>
            <w:proofErr w:type="spellEnd"/>
            <w:r w:rsidRPr="00F954DC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</w:t>
            </w:r>
            <w:r w:rsidRPr="00F954DC">
              <w:rPr>
                <w:sz w:val="22"/>
                <w:szCs w:val="22"/>
              </w:rPr>
              <w:lastRenderedPageBreak/>
              <w:t xml:space="preserve">обуви должно быть использовано не менее двух специальных деталей, таких как: жесткие задники, </w:t>
            </w:r>
            <w:proofErr w:type="spellStart"/>
            <w:r w:rsidRPr="00F954DC">
              <w:rPr>
                <w:sz w:val="22"/>
                <w:szCs w:val="22"/>
              </w:rPr>
              <w:t>берцы</w:t>
            </w:r>
            <w:proofErr w:type="spellEnd"/>
            <w:r w:rsidRPr="00F954DC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F954DC">
              <w:rPr>
                <w:sz w:val="22"/>
                <w:szCs w:val="22"/>
              </w:rPr>
              <w:t>межстелечный</w:t>
            </w:r>
            <w:proofErr w:type="spellEnd"/>
            <w:r w:rsidRPr="00F954DC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954DC" w:rsidRPr="00F954DC" w:rsidRDefault="00F954DC" w:rsidP="00F954D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954DC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F954DC">
              <w:rPr>
                <w:sz w:val="22"/>
                <w:szCs w:val="22"/>
              </w:rPr>
              <w:t>плосковальгусной</w:t>
            </w:r>
            <w:proofErr w:type="spellEnd"/>
            <w:r w:rsidRPr="00F954DC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F954DC">
              <w:rPr>
                <w:sz w:val="22"/>
                <w:szCs w:val="22"/>
              </w:rPr>
              <w:t>половарусной</w:t>
            </w:r>
            <w:proofErr w:type="spellEnd"/>
            <w:r w:rsidRPr="00F954DC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F954DC">
              <w:rPr>
                <w:sz w:val="22"/>
                <w:szCs w:val="22"/>
              </w:rPr>
              <w:t>берцы</w:t>
            </w:r>
            <w:proofErr w:type="spellEnd"/>
            <w:r w:rsidRPr="00F954DC"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954DC" w:rsidRPr="00F954DC" w:rsidRDefault="00F954DC" w:rsidP="00F954D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954DC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F954DC">
              <w:rPr>
                <w:sz w:val="22"/>
                <w:szCs w:val="22"/>
              </w:rPr>
              <w:t>лимфостазе</w:t>
            </w:r>
            <w:proofErr w:type="spellEnd"/>
            <w:r w:rsidRPr="00F954DC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F954DC" w:rsidRPr="00F954DC" w:rsidRDefault="00F954DC" w:rsidP="00F954D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954DC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954DC">
              <w:rPr>
                <w:sz w:val="22"/>
                <w:szCs w:val="22"/>
              </w:rPr>
              <w:t>межстелечный</w:t>
            </w:r>
            <w:proofErr w:type="spellEnd"/>
            <w:r w:rsidRPr="00F954DC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F954DC" w:rsidP="00F954DC">
            <w:pPr>
              <w:widowControl w:val="0"/>
              <w:suppressAutoHyphens/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F954DC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F954DC">
              <w:rPr>
                <w:sz w:val="22"/>
                <w:szCs w:val="22"/>
              </w:rPr>
              <w:t>межстелечный</w:t>
            </w:r>
            <w:proofErr w:type="spellEnd"/>
            <w:r w:rsidRPr="00F954DC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30260A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30260A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F03E94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5F2E72">
            <w:pPr>
              <w:widowControl w:val="0"/>
              <w:suppressAutoHyphens/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42B9" w:rsidTr="006D42B9">
        <w:trPr>
          <w:trHeight w:val="19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</w:t>
            </w:r>
            <w:r w:rsidR="00F22A25">
              <w:rPr>
                <w:sz w:val="20"/>
                <w:szCs w:val="20"/>
              </w:rPr>
              <w:t>сложная без утепленной подкладки</w:t>
            </w:r>
            <w:r>
              <w:rPr>
                <w:sz w:val="20"/>
                <w:szCs w:val="20"/>
              </w:rPr>
              <w:t xml:space="preserve"> для детей-инвалидов (пара)</w:t>
            </w:r>
          </w:p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(9-01-01)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7083C">
              <w:rPr>
                <w:sz w:val="22"/>
                <w:szCs w:val="22"/>
              </w:rPr>
              <w:lastRenderedPageBreak/>
              <w:t>сгибательной</w:t>
            </w:r>
            <w:proofErr w:type="spellEnd"/>
            <w:r w:rsidRPr="0087083C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7083C">
              <w:rPr>
                <w:sz w:val="22"/>
                <w:szCs w:val="22"/>
              </w:rPr>
              <w:t>межстелечный</w:t>
            </w:r>
            <w:proofErr w:type="spellEnd"/>
            <w:r w:rsidRPr="0087083C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87083C">
              <w:rPr>
                <w:sz w:val="22"/>
                <w:szCs w:val="22"/>
              </w:rPr>
              <w:t>варусной</w:t>
            </w:r>
            <w:proofErr w:type="spellEnd"/>
            <w:r w:rsidRPr="0087083C">
              <w:rPr>
                <w:sz w:val="22"/>
                <w:szCs w:val="22"/>
              </w:rPr>
              <w:t xml:space="preserve">, </w:t>
            </w:r>
            <w:proofErr w:type="spellStart"/>
            <w:r w:rsidRPr="0087083C">
              <w:rPr>
                <w:sz w:val="22"/>
                <w:szCs w:val="22"/>
              </w:rPr>
              <w:t>эквинусной</w:t>
            </w:r>
            <w:proofErr w:type="spellEnd"/>
            <w:r w:rsidRPr="0087083C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7083C">
              <w:rPr>
                <w:sz w:val="22"/>
                <w:szCs w:val="22"/>
              </w:rPr>
              <w:t>берцы</w:t>
            </w:r>
            <w:proofErr w:type="spellEnd"/>
            <w:r w:rsidRPr="0087083C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87083C">
              <w:rPr>
                <w:sz w:val="22"/>
                <w:szCs w:val="22"/>
              </w:rPr>
              <w:t>межстелечный</w:t>
            </w:r>
            <w:proofErr w:type="spellEnd"/>
            <w:r w:rsidRPr="0087083C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7083C">
              <w:rPr>
                <w:sz w:val="22"/>
                <w:szCs w:val="22"/>
              </w:rPr>
              <w:t>плосковальгусной</w:t>
            </w:r>
            <w:proofErr w:type="spellEnd"/>
            <w:r w:rsidRPr="0087083C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87083C">
              <w:rPr>
                <w:sz w:val="22"/>
                <w:szCs w:val="22"/>
              </w:rPr>
              <w:t>половарусной</w:t>
            </w:r>
            <w:proofErr w:type="spellEnd"/>
            <w:r w:rsidRPr="0087083C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87083C">
              <w:rPr>
                <w:sz w:val="22"/>
                <w:szCs w:val="22"/>
              </w:rPr>
              <w:t>берцы</w:t>
            </w:r>
            <w:proofErr w:type="spellEnd"/>
            <w:r w:rsidRPr="0087083C"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87083C">
              <w:rPr>
                <w:sz w:val="22"/>
                <w:szCs w:val="22"/>
              </w:rPr>
              <w:t>лимфостазе</w:t>
            </w:r>
            <w:proofErr w:type="spellEnd"/>
            <w:r w:rsidRPr="0087083C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7083C">
              <w:rPr>
                <w:sz w:val="22"/>
                <w:szCs w:val="22"/>
              </w:rPr>
              <w:t>межстелечный</w:t>
            </w:r>
            <w:proofErr w:type="spellEnd"/>
            <w:r w:rsidRPr="0087083C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87083C" w:rsidP="0087083C">
            <w:pPr>
              <w:tabs>
                <w:tab w:val="left" w:pos="0"/>
              </w:tabs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87083C">
              <w:rPr>
                <w:sz w:val="22"/>
                <w:szCs w:val="22"/>
              </w:rPr>
              <w:t>межстелечный</w:t>
            </w:r>
            <w:proofErr w:type="spellEnd"/>
            <w:r w:rsidRPr="0087083C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8336E0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D42B9" w:rsidTr="006D42B9">
        <w:trPr>
          <w:trHeight w:val="367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8336E0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D42B9" w:rsidTr="006D42B9">
        <w:trPr>
          <w:trHeight w:val="438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8336E0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8336E0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2B9" w:rsidTr="006D42B9">
        <w:trPr>
          <w:trHeight w:val="2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(9-02-01)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7083C">
              <w:rPr>
                <w:sz w:val="22"/>
                <w:szCs w:val="22"/>
              </w:rPr>
              <w:t>сгибательной</w:t>
            </w:r>
            <w:proofErr w:type="spellEnd"/>
            <w:r w:rsidRPr="0087083C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7083C">
              <w:rPr>
                <w:sz w:val="22"/>
                <w:szCs w:val="22"/>
              </w:rPr>
              <w:t>межстелечный</w:t>
            </w:r>
            <w:proofErr w:type="spellEnd"/>
            <w:r w:rsidRPr="0087083C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87083C">
              <w:rPr>
                <w:sz w:val="22"/>
                <w:szCs w:val="22"/>
              </w:rPr>
              <w:t>варусной</w:t>
            </w:r>
            <w:proofErr w:type="spellEnd"/>
            <w:r w:rsidRPr="0087083C">
              <w:rPr>
                <w:sz w:val="22"/>
                <w:szCs w:val="22"/>
              </w:rPr>
              <w:t xml:space="preserve">, </w:t>
            </w:r>
            <w:proofErr w:type="spellStart"/>
            <w:r w:rsidRPr="0087083C">
              <w:rPr>
                <w:sz w:val="22"/>
                <w:szCs w:val="22"/>
              </w:rPr>
              <w:t>эквинусной</w:t>
            </w:r>
            <w:proofErr w:type="spellEnd"/>
            <w:r w:rsidRPr="0087083C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7083C">
              <w:rPr>
                <w:sz w:val="22"/>
                <w:szCs w:val="22"/>
              </w:rPr>
              <w:t>берцы</w:t>
            </w:r>
            <w:proofErr w:type="spellEnd"/>
            <w:r w:rsidRPr="0087083C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87083C">
              <w:rPr>
                <w:sz w:val="22"/>
                <w:szCs w:val="22"/>
              </w:rPr>
              <w:t>межстелечный</w:t>
            </w:r>
            <w:proofErr w:type="spellEnd"/>
            <w:r w:rsidRPr="0087083C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7083C">
              <w:rPr>
                <w:sz w:val="22"/>
                <w:szCs w:val="22"/>
              </w:rPr>
              <w:t>плосковальгусной</w:t>
            </w:r>
            <w:proofErr w:type="spellEnd"/>
            <w:r w:rsidRPr="0087083C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87083C">
              <w:rPr>
                <w:sz w:val="22"/>
                <w:szCs w:val="22"/>
              </w:rPr>
              <w:t>половарусной</w:t>
            </w:r>
            <w:proofErr w:type="spellEnd"/>
            <w:r w:rsidRPr="0087083C"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87083C">
              <w:rPr>
                <w:sz w:val="22"/>
                <w:szCs w:val="22"/>
              </w:rPr>
              <w:t>берцы</w:t>
            </w:r>
            <w:proofErr w:type="spellEnd"/>
            <w:r w:rsidRPr="0087083C"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87083C" w:rsidRPr="0087083C" w:rsidRDefault="0087083C" w:rsidP="0087083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87083C">
              <w:rPr>
                <w:sz w:val="22"/>
                <w:szCs w:val="22"/>
              </w:rPr>
              <w:t>лимфостазе</w:t>
            </w:r>
            <w:proofErr w:type="spellEnd"/>
            <w:r w:rsidRPr="0087083C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7083C">
              <w:rPr>
                <w:sz w:val="22"/>
                <w:szCs w:val="22"/>
              </w:rPr>
              <w:t>межстелечный</w:t>
            </w:r>
            <w:proofErr w:type="spellEnd"/>
            <w:r w:rsidRPr="0087083C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87083C" w:rsidP="0087083C">
            <w:pPr>
              <w:keepNext/>
              <w:snapToGrid w:val="0"/>
              <w:spacing w:after="0"/>
              <w:rPr>
                <w:sz w:val="22"/>
                <w:szCs w:val="22"/>
              </w:rPr>
            </w:pPr>
            <w:r w:rsidRPr="0087083C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87083C">
              <w:rPr>
                <w:sz w:val="22"/>
                <w:szCs w:val="22"/>
              </w:rPr>
              <w:t>межстелечный</w:t>
            </w:r>
            <w:proofErr w:type="spellEnd"/>
            <w:r w:rsidRPr="0087083C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</w:t>
            </w:r>
            <w:r w:rsidRPr="0087083C">
              <w:rPr>
                <w:sz w:val="22"/>
                <w:szCs w:val="22"/>
              </w:rPr>
              <w:lastRenderedPageBreak/>
              <w:t xml:space="preserve">особой формы, служащие для восстановления или компенсации статодинамической функции. </w:t>
            </w:r>
            <w:proofErr w:type="gramStart"/>
            <w:r w:rsidRPr="0087083C">
              <w:rPr>
                <w:sz w:val="22"/>
                <w:szCs w:val="22"/>
              </w:rPr>
              <w:t>Подкладка</w:t>
            </w:r>
            <w:proofErr w:type="gramEnd"/>
            <w:r w:rsidRPr="0087083C">
              <w:rPr>
                <w:sz w:val="22"/>
                <w:szCs w:val="22"/>
              </w:rPr>
              <w:t xml:space="preserve"> утепленная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F772A" w:rsidP="00D41A4B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6D42B9" w:rsidTr="006D42B9">
        <w:trPr>
          <w:trHeight w:val="168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F772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D42B9" w:rsidTr="006D42B9">
        <w:trPr>
          <w:trHeight w:val="41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F772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6D42B9" w:rsidTr="006D42B9">
        <w:trPr>
          <w:trHeight w:val="39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F772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2B9" w:rsidTr="00F44A16">
        <w:trPr>
          <w:trHeight w:val="18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(9-02-01)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16" w:rsidRPr="00F44A16" w:rsidRDefault="00F44A16" w:rsidP="00F44A1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4A16"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44A16" w:rsidRPr="00F44A16" w:rsidRDefault="00F44A16" w:rsidP="00F44A1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4A16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F44A16">
              <w:rPr>
                <w:sz w:val="22"/>
                <w:szCs w:val="22"/>
              </w:rPr>
              <w:t>сгибательной</w:t>
            </w:r>
            <w:proofErr w:type="spellEnd"/>
            <w:r w:rsidRPr="00F44A16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F44A16">
              <w:rPr>
                <w:sz w:val="22"/>
                <w:szCs w:val="22"/>
              </w:rPr>
              <w:t>межстелечный</w:t>
            </w:r>
            <w:proofErr w:type="spellEnd"/>
            <w:r w:rsidRPr="00F44A16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44A16" w:rsidRPr="00F44A16" w:rsidRDefault="00F44A16" w:rsidP="00F44A1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4A16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F44A16">
              <w:rPr>
                <w:sz w:val="22"/>
                <w:szCs w:val="22"/>
              </w:rPr>
              <w:t>варусной</w:t>
            </w:r>
            <w:proofErr w:type="spellEnd"/>
            <w:r w:rsidRPr="00F44A16">
              <w:rPr>
                <w:sz w:val="22"/>
                <w:szCs w:val="22"/>
              </w:rPr>
              <w:t xml:space="preserve">, </w:t>
            </w:r>
            <w:proofErr w:type="spellStart"/>
            <w:r w:rsidRPr="00F44A16">
              <w:rPr>
                <w:sz w:val="22"/>
                <w:szCs w:val="22"/>
              </w:rPr>
              <w:t>эквинусной</w:t>
            </w:r>
            <w:proofErr w:type="spellEnd"/>
            <w:r w:rsidRPr="00F44A16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F44A16" w:rsidRPr="00F44A16" w:rsidRDefault="00F44A16" w:rsidP="00F44A1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4A16"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F44A16">
              <w:rPr>
                <w:sz w:val="22"/>
                <w:szCs w:val="22"/>
              </w:rPr>
              <w:t>берцы</w:t>
            </w:r>
            <w:proofErr w:type="spellEnd"/>
            <w:r w:rsidRPr="00F44A16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F44A16">
              <w:rPr>
                <w:sz w:val="22"/>
                <w:szCs w:val="22"/>
              </w:rPr>
              <w:t>межстелечный</w:t>
            </w:r>
            <w:proofErr w:type="spellEnd"/>
            <w:r w:rsidRPr="00F44A16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44A16" w:rsidRPr="00F44A16" w:rsidRDefault="00F44A16" w:rsidP="00F44A1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4A16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F44A16">
              <w:rPr>
                <w:sz w:val="22"/>
                <w:szCs w:val="22"/>
              </w:rPr>
              <w:t>плосковальгусной</w:t>
            </w:r>
            <w:proofErr w:type="spellEnd"/>
            <w:r w:rsidRPr="00F44A16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F44A16">
              <w:rPr>
                <w:sz w:val="22"/>
                <w:szCs w:val="22"/>
              </w:rPr>
              <w:t>половарусной</w:t>
            </w:r>
            <w:proofErr w:type="spellEnd"/>
            <w:r w:rsidRPr="00F44A16"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F44A16" w:rsidRPr="00F44A16" w:rsidRDefault="00F44A16" w:rsidP="00F44A1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4A16">
              <w:rPr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F44A16">
              <w:rPr>
                <w:sz w:val="22"/>
                <w:szCs w:val="22"/>
              </w:rPr>
              <w:t>берцы</w:t>
            </w:r>
            <w:proofErr w:type="spellEnd"/>
            <w:r w:rsidRPr="00F44A16"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44A16" w:rsidRPr="00F44A16" w:rsidRDefault="00F44A16" w:rsidP="00F44A1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4A16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F44A16">
              <w:rPr>
                <w:sz w:val="22"/>
                <w:szCs w:val="22"/>
              </w:rPr>
              <w:t>лимфостазе</w:t>
            </w:r>
            <w:proofErr w:type="spellEnd"/>
            <w:r w:rsidRPr="00F44A16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44A16">
              <w:rPr>
                <w:sz w:val="22"/>
                <w:szCs w:val="22"/>
              </w:rPr>
              <w:t>межстелечный</w:t>
            </w:r>
            <w:proofErr w:type="spellEnd"/>
            <w:r w:rsidRPr="00F44A16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F44A16" w:rsidP="00F44A16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  <w:sz w:val="22"/>
                <w:szCs w:val="22"/>
              </w:rPr>
            </w:pPr>
            <w:r w:rsidRPr="00F44A16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F44A16">
              <w:rPr>
                <w:sz w:val="22"/>
                <w:szCs w:val="22"/>
              </w:rPr>
              <w:lastRenderedPageBreak/>
              <w:t>межстелечный</w:t>
            </w:r>
            <w:proofErr w:type="spellEnd"/>
            <w:r w:rsidRPr="00F44A16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F44A16">
              <w:rPr>
                <w:sz w:val="22"/>
                <w:szCs w:val="22"/>
              </w:rPr>
              <w:t>Подкладка</w:t>
            </w:r>
            <w:proofErr w:type="gramEnd"/>
            <w:r w:rsidRPr="00F44A16">
              <w:rPr>
                <w:sz w:val="22"/>
                <w:szCs w:val="22"/>
              </w:rPr>
              <w:t xml:space="preserve"> утепленная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EB198F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D42B9" w:rsidTr="006D42B9">
        <w:trPr>
          <w:trHeight w:val="169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EB198F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D42B9" w:rsidTr="006D42B9">
        <w:trPr>
          <w:trHeight w:val="182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EB198F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6D42B9" w:rsidTr="006D42B9">
        <w:trPr>
          <w:trHeight w:val="249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EB198F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2B9" w:rsidTr="006D42B9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9-01-02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Pr="005A37AA" w:rsidRDefault="006D42B9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eastAsia="Arial"/>
                <w:sz w:val="22"/>
                <w:szCs w:val="22"/>
              </w:rPr>
            </w:pPr>
            <w:r w:rsidRPr="005A37AA">
              <w:rPr>
                <w:rFonts w:eastAsia="Arial"/>
                <w:sz w:val="22"/>
                <w:szCs w:val="22"/>
              </w:rPr>
              <w:t xml:space="preserve"> </w:t>
            </w:r>
            <w:r w:rsidR="00496ECE" w:rsidRPr="00496ECE">
              <w:rPr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B3F8C" w:rsidP="00D41A4B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D42B9" w:rsidTr="006D42B9">
        <w:trPr>
          <w:trHeight w:val="1573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B3F8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044C">
              <w:rPr>
                <w:sz w:val="20"/>
                <w:szCs w:val="20"/>
              </w:rPr>
              <w:t>0</w:t>
            </w:r>
          </w:p>
        </w:tc>
      </w:tr>
      <w:tr w:rsidR="006D42B9" w:rsidTr="006D42B9">
        <w:trPr>
          <w:trHeight w:val="239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B3F8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D42B9" w:rsidTr="006D42B9">
        <w:trPr>
          <w:trHeight w:val="89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B3F8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42B9" w:rsidTr="006D42B9">
        <w:trPr>
          <w:trHeight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сохраненную конечность и </w:t>
            </w:r>
            <w:r>
              <w:rPr>
                <w:sz w:val="20"/>
                <w:szCs w:val="20"/>
              </w:rPr>
              <w:lastRenderedPageBreak/>
              <w:t xml:space="preserve">обувь на протез без утепленной подкладки для детей-инвалидов 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9-01-02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Pr="005A37AA" w:rsidRDefault="00344BD5" w:rsidP="00D93EBD">
            <w:pPr>
              <w:tabs>
                <w:tab w:val="left" w:pos="0"/>
              </w:tabs>
              <w:spacing w:after="0"/>
              <w:rPr>
                <w:rFonts w:eastAsia="Arial"/>
                <w:sz w:val="22"/>
                <w:szCs w:val="22"/>
              </w:rPr>
            </w:pPr>
            <w:r w:rsidRPr="00344BD5">
              <w:rPr>
                <w:sz w:val="22"/>
                <w:szCs w:val="22"/>
              </w:rPr>
              <w:lastRenderedPageBreak/>
              <w:t xml:space="preserve">Изготавливается одновременно полупара обуви на сохраненную конечность и на протез </w:t>
            </w:r>
            <w:r w:rsidRPr="00344BD5">
              <w:rPr>
                <w:sz w:val="22"/>
                <w:szCs w:val="22"/>
              </w:rPr>
              <w:lastRenderedPageBreak/>
              <w:t>ампутированной конечности по индивидуальным размерам Получателя.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Государственное учреждение – Тверское региональное </w:t>
            </w:r>
            <w:r>
              <w:rPr>
                <w:sz w:val="20"/>
                <w:szCs w:val="20"/>
              </w:rPr>
              <w:lastRenderedPageBreak/>
              <w:t xml:space="preserve">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D93EBD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</w:t>
            </w:r>
          </w:p>
        </w:tc>
      </w:tr>
      <w:tr w:rsidR="006D42B9" w:rsidTr="006D42B9">
        <w:trPr>
          <w:trHeight w:val="55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70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104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9-02-02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Pr="005A37AA" w:rsidRDefault="00FD314B" w:rsidP="007C6CAC">
            <w:pPr>
              <w:tabs>
                <w:tab w:val="left" w:pos="0"/>
              </w:tabs>
              <w:spacing w:after="0"/>
              <w:rPr>
                <w:rFonts w:eastAsia="Arial"/>
                <w:sz w:val="22"/>
                <w:szCs w:val="22"/>
              </w:rPr>
            </w:pPr>
            <w:r w:rsidRPr="00FD314B">
              <w:rPr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DE5DC2" w:rsidP="00D41A4B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D42B9" w:rsidTr="006D42B9">
        <w:trPr>
          <w:trHeight w:val="838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DE5DC2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D42B9" w:rsidTr="006D42B9">
        <w:trPr>
          <w:trHeight w:val="128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</w:t>
            </w:r>
            <w:r>
              <w:rPr>
                <w:sz w:val="20"/>
                <w:szCs w:val="20"/>
              </w:rPr>
              <w:lastRenderedPageBreak/>
              <w:t xml:space="preserve">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DE5DC2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D42B9" w:rsidTr="006D42B9">
        <w:trPr>
          <w:trHeight w:val="822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DE5DC2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42B9" w:rsidTr="006D42B9">
        <w:trPr>
          <w:trHeight w:val="8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9-02-02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Pr="005A37AA" w:rsidRDefault="00F133E7" w:rsidP="00ED2CA3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 w:rsidRPr="00F133E7">
              <w:rPr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8902E4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413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608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834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42B9" w:rsidTr="006D42B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57213A" w:rsidP="00D41A4B">
            <w:pPr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1 911</w:t>
            </w:r>
          </w:p>
        </w:tc>
      </w:tr>
    </w:tbl>
    <w:p w:rsidR="006D42B9" w:rsidRDefault="006D42B9" w:rsidP="006D42B9">
      <w:pPr>
        <w:spacing w:after="0"/>
        <w:rPr>
          <w:sz w:val="22"/>
          <w:szCs w:val="22"/>
        </w:rPr>
      </w:pP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1.2. Качественные характеристики объекта закупки.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 xml:space="preserve"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 Материалы, применяемые для изготовления Изделий, не должны содержать ядовитых (токсичных) компонентов, не должны воздействовать на </w:t>
      </w:r>
      <w:r w:rsidRPr="00E41B54">
        <w:rPr>
          <w:sz w:val="22"/>
          <w:szCs w:val="22"/>
        </w:rPr>
        <w:lastRenderedPageBreak/>
        <w:t>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- ГОСТ Р 54407-2020 «Обувь ортопедическая. Общие технические условия»;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- ГОСТ Р 57761-2017 «Обувь ортопедическая. Термины и определения»;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- ГОСТ Р 55638-2021 «Услуги по изготовлению ортопедической обуви. Состав и содержание услуг. Требования безопасности».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1.2.3. Изделия должны быть в упаковке, обеспечивающей защиту от повреждений, порчи (изнашивания) или загрязнения во время хранения и транспортирования к месту использования по назначению (п. 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1.2.5. Изделия должны быть свободными от прав третьих лиц.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Начало сезона должно определяться в соответствии с Законом «О защите прав потребителей».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2. Исполнитель обязан: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2.1. Осуществлять индивидуальное изготовление Получателям Изделий.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E6658B" w:rsidRPr="00E6658B" w:rsidRDefault="00E6658B" w:rsidP="00E41B54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</w:t>
      </w:r>
      <w:r w:rsidR="002F03ED">
        <w:rPr>
          <w:sz w:val="22"/>
          <w:szCs w:val="22"/>
        </w:rPr>
        <w:t xml:space="preserve">яется в соответствии с Законом </w:t>
      </w:r>
      <w:r w:rsidRPr="00E6658B">
        <w:rPr>
          <w:sz w:val="22"/>
          <w:szCs w:val="22"/>
        </w:rPr>
        <w:t xml:space="preserve">«О защите прав потребителей». В связи с тем, что передача Изделий </w:t>
      </w:r>
      <w:r w:rsidRPr="00E6658B">
        <w:rPr>
          <w:sz w:val="22"/>
          <w:szCs w:val="22"/>
        </w:rPr>
        <w:lastRenderedPageBreak/>
        <w:t>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</w:t>
      </w:r>
      <w:r>
        <w:rPr>
          <w:sz w:val="22"/>
          <w:szCs w:val="22"/>
        </w:rPr>
        <w:t xml:space="preserve">4-х </w:t>
      </w:r>
      <w:r w:rsidRPr="00E6658B">
        <w:rPr>
          <w:sz w:val="22"/>
          <w:szCs w:val="22"/>
        </w:rPr>
        <w:t xml:space="preserve">субъектов Российской Федерации с момента заключения государственного контракта. </w:t>
      </w:r>
    </w:p>
    <w:p w:rsidR="00E6658B" w:rsidRPr="00E6658B" w:rsidRDefault="00E6658B" w:rsidP="00E6658B">
      <w:pPr>
        <w:pStyle w:val="a4"/>
        <w:widowControl w:val="0"/>
        <w:tabs>
          <w:tab w:val="left" w:pos="993"/>
        </w:tabs>
        <w:spacing w:after="0" w:line="240" w:lineRule="auto"/>
        <w:ind w:left="-567" w:right="-284"/>
        <w:jc w:val="both"/>
        <w:rPr>
          <w:rFonts w:ascii="Times New Roman" w:hAnsi="Times New Roman"/>
          <w:color w:val="FF0000"/>
          <w:szCs w:val="22"/>
        </w:rPr>
      </w:pPr>
      <w:r w:rsidRPr="00E6658B">
        <w:rPr>
          <w:rFonts w:ascii="Times New Roman" w:hAnsi="Times New Roman"/>
          <w:szCs w:val="22"/>
        </w:rPr>
        <w:t>Количество пунктов приема указано</w:t>
      </w:r>
      <w:r w:rsidRPr="00E6658B">
        <w:rPr>
          <w:rFonts w:ascii="Times New Roman" w:hAnsi="Times New Roman"/>
          <w:color w:val="000000" w:themeColor="text1"/>
          <w:szCs w:val="22"/>
        </w:rPr>
        <w:t xml:space="preserve"> в </w:t>
      </w:r>
      <w:r w:rsidRPr="00E6658B">
        <w:rPr>
          <w:rFonts w:ascii="Times New Roman" w:hAnsi="Times New Roman"/>
          <w:szCs w:val="22"/>
        </w:rPr>
        <w:t>Приложении № 1.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E6658B">
        <w:rPr>
          <w:sz w:val="22"/>
          <w:szCs w:val="22"/>
        </w:rPr>
        <w:t>Роспотребнадзора</w:t>
      </w:r>
      <w:proofErr w:type="spellEnd"/>
      <w:r w:rsidRPr="00E6658B">
        <w:rPr>
          <w:sz w:val="22"/>
          <w:szCs w:val="22"/>
        </w:rPr>
        <w:t xml:space="preserve"> и исполнительных органов государственной власти субъектов Российской Федерации</w:t>
      </w:r>
      <w:r w:rsidRPr="00E6658B">
        <w:rPr>
          <w:color w:val="FF0000"/>
          <w:sz w:val="22"/>
          <w:szCs w:val="22"/>
        </w:rPr>
        <w:t xml:space="preserve"> </w:t>
      </w:r>
      <w:r w:rsidRPr="00E6658B">
        <w:rPr>
          <w:sz w:val="22"/>
          <w:szCs w:val="22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E6658B">
        <w:rPr>
          <w:sz w:val="22"/>
          <w:szCs w:val="22"/>
        </w:rPr>
        <w:t>коронавирусной</w:t>
      </w:r>
      <w:proofErr w:type="spellEnd"/>
      <w:r w:rsidRPr="00E6658B">
        <w:rPr>
          <w:sz w:val="22"/>
          <w:szCs w:val="22"/>
        </w:rPr>
        <w:t xml:space="preserve"> инфекции (COVID-19).</w:t>
      </w:r>
    </w:p>
    <w:p w:rsidR="00351ADF" w:rsidRPr="00351ADF" w:rsidRDefault="00351ADF" w:rsidP="00351ADF">
      <w:pPr>
        <w:ind w:left="-567" w:right="-284"/>
        <w:rPr>
          <w:sz w:val="22"/>
          <w:szCs w:val="22"/>
        </w:rPr>
      </w:pPr>
      <w:r w:rsidRPr="00351ADF">
        <w:rPr>
          <w:sz w:val="22"/>
          <w:szCs w:val="22"/>
        </w:rPr>
        <w:t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351ADF" w:rsidRPr="00351ADF" w:rsidRDefault="00351ADF" w:rsidP="00351ADF">
      <w:pPr>
        <w:ind w:left="-567" w:right="-284"/>
        <w:rPr>
          <w:sz w:val="22"/>
          <w:szCs w:val="22"/>
        </w:rPr>
      </w:pPr>
      <w:r w:rsidRPr="00351ADF">
        <w:rPr>
          <w:sz w:val="22"/>
          <w:szCs w:val="22"/>
        </w:rPr>
        <w:t>Вход в каждый пункт приема должен быть обозначен надписью (например, «Пункт выдачи ТСР для</w:t>
      </w:r>
    </w:p>
    <w:p w:rsidR="00351ADF" w:rsidRPr="00351ADF" w:rsidRDefault="00351ADF" w:rsidP="00351ADF">
      <w:pPr>
        <w:ind w:left="-567" w:right="-284"/>
        <w:rPr>
          <w:sz w:val="22"/>
          <w:szCs w:val="22"/>
        </w:rPr>
      </w:pPr>
      <w:r w:rsidRPr="00351ADF">
        <w:rPr>
          <w:sz w:val="22"/>
          <w:szCs w:val="22"/>
        </w:rPr>
        <w:t>инвалидов»), позволяющей однозначно определить место нахождения указанного пункта приема.</w:t>
      </w:r>
    </w:p>
    <w:p w:rsidR="00E6658B" w:rsidRPr="00E6658B" w:rsidRDefault="00351ADF" w:rsidP="00351ADF">
      <w:pPr>
        <w:ind w:left="-567" w:right="-284"/>
        <w:rPr>
          <w:sz w:val="22"/>
          <w:szCs w:val="22"/>
        </w:rPr>
      </w:pPr>
      <w:r w:rsidRPr="00351ADF">
        <w:rPr>
          <w:sz w:val="22"/>
          <w:szCs w:val="22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b/>
          <w:sz w:val="22"/>
          <w:szCs w:val="22"/>
        </w:rPr>
        <w:t>Входная группа</w:t>
      </w:r>
      <w:r w:rsidRPr="00E6658B">
        <w:rPr>
          <w:sz w:val="22"/>
          <w:szCs w:val="22"/>
        </w:rPr>
        <w:t xml:space="preserve"> 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Пандус с поручнями;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Лестница с поручнями;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Применение для Получателей вместо пандусов аппарелей не допускается на объекте (в соответствии с п. 6.1.2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lastRenderedPageBreak/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Навес над входной площадкой;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В целях обеспечения безопасности, площадка при входах, доступных для Получателей, должна иметь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навес (в соответствии с п. 6.1.4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Противоскользящее покрытие;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Поверхности покрытий входных площадок и тамбуров должны быть твердыми, не допускать скольжения при намокании (в соответствии с п. 6.1.4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Тактильно-контрастные указатели;</w:t>
      </w:r>
    </w:p>
    <w:p w:rsidR="00E6658B" w:rsidRPr="00E6658B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E6658B" w:rsidRPr="00E6658B" w:rsidRDefault="00E6658B" w:rsidP="00E6658B">
      <w:pPr>
        <w:ind w:left="-567" w:right="-284"/>
        <w:rPr>
          <w:b/>
          <w:sz w:val="22"/>
          <w:szCs w:val="22"/>
        </w:rPr>
      </w:pPr>
      <w:r w:rsidRPr="00E6658B">
        <w:rPr>
          <w:b/>
          <w:sz w:val="22"/>
          <w:szCs w:val="22"/>
        </w:rPr>
        <w:t>Пути движения внутри пункта (пунктов) приема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Лифт, подъемная платформа, эскалатор; (в соответствии с п. 6.2.13 – п. 6.2.18 СП 59.13330.2016). Лифт должен иметь габариты не менее 1100х1400 мм (ширина х глубина).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E6658B" w:rsidRPr="00E6658B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 xml:space="preserve">- </w:t>
      </w:r>
      <w:proofErr w:type="gramStart"/>
      <w:r w:rsidRPr="00164EA5">
        <w:rPr>
          <w:sz w:val="22"/>
          <w:szCs w:val="22"/>
        </w:rPr>
        <w:t>В</w:t>
      </w:r>
      <w:proofErr w:type="gramEnd"/>
      <w:r w:rsidRPr="00164EA5">
        <w:rPr>
          <w:sz w:val="22"/>
          <w:szCs w:val="22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E6658B" w:rsidRPr="00E6658B" w:rsidRDefault="00E6658B" w:rsidP="00E6658B">
      <w:pPr>
        <w:ind w:left="-567" w:right="-284"/>
        <w:rPr>
          <w:b/>
          <w:sz w:val="22"/>
          <w:szCs w:val="22"/>
        </w:rPr>
      </w:pPr>
      <w:r w:rsidRPr="00E6658B">
        <w:rPr>
          <w:b/>
          <w:sz w:val="22"/>
          <w:szCs w:val="22"/>
        </w:rPr>
        <w:t>Пути эвакуации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В случае невозможности соблюдения положений части 15 статьи 89 </w:t>
      </w:r>
      <w:hyperlink r:id="rId6" w:history="1">
        <w:r w:rsidRPr="00E6658B">
          <w:rPr>
            <w:sz w:val="22"/>
            <w:szCs w:val="22"/>
          </w:rPr>
          <w:t xml:space="preserve">Федерального закона </w:t>
        </w:r>
        <w:r w:rsidRPr="00E6658B">
          <w:rPr>
            <w:sz w:val="22"/>
            <w:szCs w:val="22"/>
          </w:rPr>
          <w:br/>
          <w:t>от 22.07.2008 № 123-ФЗ «Технический регламент о требованиях пожарной безопасности</w:t>
        </w:r>
      </w:hyperlink>
      <w:r w:rsidRPr="00E6658B">
        <w:rPr>
          <w:sz w:val="22"/>
          <w:szCs w:val="22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Обеспечить систему двухсторонней связи с диспетчером или дежурным (в соответствии </w:t>
      </w:r>
      <w:r w:rsidRPr="00E6658B">
        <w:rPr>
          <w:sz w:val="22"/>
          <w:szCs w:val="22"/>
        </w:rPr>
        <w:br/>
        <w:t>с п. 6.5.8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</w:t>
      </w:r>
      <w:r w:rsidRPr="00E6658B">
        <w:rPr>
          <w:sz w:val="22"/>
          <w:szCs w:val="22"/>
        </w:rPr>
        <w:lastRenderedPageBreak/>
        <w:t xml:space="preserve">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возможность беспрепятственного входа в объекты и выхода из них;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6658B">
        <w:rPr>
          <w:sz w:val="22"/>
          <w:szCs w:val="22"/>
        </w:rPr>
        <w:t>ассистивных</w:t>
      </w:r>
      <w:proofErr w:type="spellEnd"/>
      <w:r w:rsidRPr="00E6658B">
        <w:rPr>
          <w:sz w:val="22"/>
          <w:szCs w:val="22"/>
        </w:rPr>
        <w:t xml:space="preserve"> и вспомогательных технологий, а также сменного кресла-коляски;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E6658B">
          <w:rPr>
            <w:sz w:val="22"/>
            <w:szCs w:val="22"/>
          </w:rPr>
          <w:t>форме</w:t>
        </w:r>
      </w:hyperlink>
      <w:r w:rsidRPr="00E6658B">
        <w:rPr>
          <w:sz w:val="22"/>
          <w:szCs w:val="22"/>
        </w:rPr>
        <w:t xml:space="preserve"> и в </w:t>
      </w:r>
      <w:hyperlink r:id="rId8" w:anchor="block_2000" w:history="1">
        <w:r w:rsidRPr="00E6658B">
          <w:rPr>
            <w:sz w:val="22"/>
            <w:szCs w:val="22"/>
          </w:rPr>
          <w:t>порядке</w:t>
        </w:r>
      </w:hyperlink>
      <w:r w:rsidRPr="00E6658B">
        <w:rPr>
          <w:sz w:val="22"/>
          <w:szCs w:val="22"/>
        </w:rPr>
        <w:t xml:space="preserve">, утвержденных </w:t>
      </w:r>
      <w:hyperlink r:id="rId9" w:history="1">
        <w:r w:rsidRPr="00E6658B">
          <w:rPr>
            <w:sz w:val="22"/>
            <w:szCs w:val="22"/>
          </w:rPr>
          <w:t>приказом</w:t>
        </w:r>
      </w:hyperlink>
      <w:r w:rsidRPr="00E6658B">
        <w:rPr>
          <w:sz w:val="22"/>
          <w:szCs w:val="22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Вести аудиозапись телефонных разговоров с Получателями по вопросам получения Изделий.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</w:t>
      </w:r>
      <w:r>
        <w:rPr>
          <w:sz w:val="22"/>
          <w:szCs w:val="22"/>
        </w:rPr>
        <w:t>м и в электронном виде.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фамилия, имя, отчество (при наличии), паспортные данные, место жительства (для физического лица);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номер контактного телефона;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адрес электронной почты;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перечень операций, выполняемых соисполнителем в рамках государственного контракта;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lastRenderedPageBreak/>
        <w:t xml:space="preserve">срок </w:t>
      </w:r>
      <w:proofErr w:type="spellStart"/>
      <w:r w:rsidRPr="00E6658B">
        <w:rPr>
          <w:sz w:val="22"/>
          <w:szCs w:val="22"/>
        </w:rPr>
        <w:t>соисполнительства</w:t>
      </w:r>
      <w:proofErr w:type="spellEnd"/>
      <w:r w:rsidRPr="00E6658B">
        <w:rPr>
          <w:sz w:val="22"/>
          <w:szCs w:val="22"/>
        </w:rPr>
        <w:t>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Информация предоставляется сопроводительным письмом с приложением подтверждающих документов на бумажном носителе и в электронном виде</w:t>
      </w:r>
      <w:r>
        <w:rPr>
          <w:sz w:val="22"/>
          <w:szCs w:val="22"/>
        </w:rPr>
        <w:t>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E6658B">
        <w:rPr>
          <w:sz w:val="22"/>
          <w:szCs w:val="22"/>
        </w:rPr>
        <w:t>фотофиксацию</w:t>
      </w:r>
      <w:proofErr w:type="spellEnd"/>
      <w:r w:rsidRPr="00E6658B">
        <w:rPr>
          <w:sz w:val="22"/>
          <w:szCs w:val="22"/>
        </w:rPr>
        <w:t xml:space="preserve"> и/или видеозапись.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6658B">
        <w:rPr>
          <w:sz w:val="22"/>
          <w:szCs w:val="22"/>
        </w:rPr>
        <w:t>Приложение № 1– адресный перечень пунктов приёма получателей на территории Российской Федерации</w:t>
      </w:r>
    </w:p>
    <w:p w:rsidR="00E6658B" w:rsidRDefault="00E6658B" w:rsidP="00E6658B">
      <w:pPr>
        <w:ind w:left="-1134" w:right="-284"/>
      </w:pPr>
    </w:p>
    <w:p w:rsidR="00E6658B" w:rsidRDefault="00E6658B" w:rsidP="00E6658B">
      <w:pPr>
        <w:ind w:left="-1134" w:right="-284"/>
      </w:pPr>
    </w:p>
    <w:p w:rsidR="006D42B9" w:rsidRDefault="006D42B9" w:rsidP="006D42B9">
      <w:pPr>
        <w:spacing w:after="0"/>
        <w:ind w:left="-1134" w:right="425"/>
        <w:jc w:val="right"/>
        <w:rPr>
          <w:bCs/>
          <w:kern w:val="36"/>
        </w:rPr>
      </w:pPr>
    </w:p>
    <w:p w:rsidR="006D42B9" w:rsidRDefault="006D42B9" w:rsidP="007570F9">
      <w:pPr>
        <w:spacing w:after="0"/>
        <w:jc w:val="right"/>
        <w:rPr>
          <w:bCs/>
          <w:kern w:val="36"/>
        </w:rPr>
      </w:pPr>
      <w:r>
        <w:rPr>
          <w:bCs/>
          <w:kern w:val="36"/>
        </w:rPr>
        <w:br w:type="page"/>
      </w:r>
      <w:r>
        <w:rPr>
          <w:bCs/>
          <w:kern w:val="36"/>
        </w:rPr>
        <w:lastRenderedPageBreak/>
        <w:t>Приложение № 1</w:t>
      </w:r>
    </w:p>
    <w:p w:rsidR="006D42B9" w:rsidRDefault="006D42B9" w:rsidP="006D42B9">
      <w:pPr>
        <w:spacing w:after="0"/>
        <w:ind w:left="-1134" w:right="-284"/>
        <w:jc w:val="right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jc w:val="center"/>
        <w:rPr>
          <w:bCs/>
          <w:kern w:val="36"/>
        </w:rPr>
      </w:pPr>
      <w:r>
        <w:rPr>
          <w:rFonts w:eastAsia="Calibri"/>
        </w:rPr>
        <w:t xml:space="preserve">Количество пунктов приема Получателей, организованных Исполнителем </w:t>
      </w:r>
      <w:r>
        <w:rPr>
          <w:rFonts w:eastAsia="Calibri"/>
        </w:rPr>
        <w:br/>
        <w:t xml:space="preserve">на территории 4 –х субъектов Российской Федерации </w:t>
      </w:r>
    </w:p>
    <w:p w:rsidR="006D42B9" w:rsidRDefault="006D42B9" w:rsidP="006D42B9">
      <w:pPr>
        <w:spacing w:after="0"/>
        <w:ind w:left="-1134" w:right="-284"/>
        <w:jc w:val="right"/>
        <w:rPr>
          <w:bCs/>
          <w:kern w:val="36"/>
        </w:rPr>
      </w:pPr>
    </w:p>
    <w:tbl>
      <w:tblPr>
        <w:tblStyle w:val="111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6D42B9" w:rsidTr="006D42B9">
        <w:trPr>
          <w:trHeight w:val="24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</w:p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</w:p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</w:p>
          <w:p w:rsidR="006D42B9" w:rsidRDefault="006D42B9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Пунктов приема Получателей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Тверское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135B10">
            <w:pPr>
              <w:spacing w:after="0"/>
              <w:jc w:val="center"/>
            </w:pPr>
            <w:r>
              <w:t>1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Калужское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center"/>
            </w:pPr>
            <w:r>
              <w:t>1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Смоленское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center"/>
            </w:pPr>
            <w:r>
              <w:t>2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Московское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center"/>
            </w:pPr>
            <w:r>
              <w:t>1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0F0D44">
            <w:pPr>
              <w:spacing w:after="0"/>
              <w:jc w:val="center"/>
            </w:pPr>
            <w:r>
              <w:t>5</w:t>
            </w:r>
          </w:p>
        </w:tc>
      </w:tr>
    </w:tbl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sectPr w:rsidR="006D42B9" w:rsidSect="006D42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B9"/>
    <w:rsid w:val="00043D37"/>
    <w:rsid w:val="000751F7"/>
    <w:rsid w:val="000D605D"/>
    <w:rsid w:val="000F0D44"/>
    <w:rsid w:val="00135B10"/>
    <w:rsid w:val="00164EA5"/>
    <w:rsid w:val="001C3CA9"/>
    <w:rsid w:val="00220BC3"/>
    <w:rsid w:val="002F03ED"/>
    <w:rsid w:val="0030260A"/>
    <w:rsid w:val="00344BD5"/>
    <w:rsid w:val="00351ADF"/>
    <w:rsid w:val="0045123A"/>
    <w:rsid w:val="00496ECE"/>
    <w:rsid w:val="00535CB3"/>
    <w:rsid w:val="0057213A"/>
    <w:rsid w:val="005A37AA"/>
    <w:rsid w:val="005F2E72"/>
    <w:rsid w:val="0068348C"/>
    <w:rsid w:val="006B3F8C"/>
    <w:rsid w:val="006B7233"/>
    <w:rsid w:val="006D42B9"/>
    <w:rsid w:val="006F772A"/>
    <w:rsid w:val="006F7914"/>
    <w:rsid w:val="0074044C"/>
    <w:rsid w:val="007570F9"/>
    <w:rsid w:val="007824F8"/>
    <w:rsid w:val="00786874"/>
    <w:rsid w:val="007871E5"/>
    <w:rsid w:val="007C6CAC"/>
    <w:rsid w:val="008336E0"/>
    <w:rsid w:val="0087083C"/>
    <w:rsid w:val="00880E14"/>
    <w:rsid w:val="008902E4"/>
    <w:rsid w:val="008B1CC8"/>
    <w:rsid w:val="009144DE"/>
    <w:rsid w:val="00925A3B"/>
    <w:rsid w:val="00A16403"/>
    <w:rsid w:val="00A8603C"/>
    <w:rsid w:val="00AF38F3"/>
    <w:rsid w:val="00B44084"/>
    <w:rsid w:val="00B93461"/>
    <w:rsid w:val="00B97E51"/>
    <w:rsid w:val="00C33EA4"/>
    <w:rsid w:val="00CF360A"/>
    <w:rsid w:val="00D2633A"/>
    <w:rsid w:val="00D41A4B"/>
    <w:rsid w:val="00D93EBD"/>
    <w:rsid w:val="00DA37C2"/>
    <w:rsid w:val="00DE5DC2"/>
    <w:rsid w:val="00E41B54"/>
    <w:rsid w:val="00E6658B"/>
    <w:rsid w:val="00E908C7"/>
    <w:rsid w:val="00EB198F"/>
    <w:rsid w:val="00ED2CA3"/>
    <w:rsid w:val="00F03E94"/>
    <w:rsid w:val="00F133E7"/>
    <w:rsid w:val="00F15FCA"/>
    <w:rsid w:val="00F22A25"/>
    <w:rsid w:val="00F44A16"/>
    <w:rsid w:val="00F86496"/>
    <w:rsid w:val="00F954DC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B52D-586A-412F-937C-2BD72761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rsid w:val="006D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6D42B9"/>
    <w:rPr>
      <w:color w:val="0000FF"/>
      <w:u w:val="single"/>
    </w:rPr>
  </w:style>
  <w:style w:type="paragraph" w:styleId="a4">
    <w:name w:val="List Paragraph"/>
    <w:basedOn w:val="a"/>
    <w:link w:val="a5"/>
    <w:rsid w:val="00E6658B"/>
    <w:pPr>
      <w:spacing w:after="200" w:line="276" w:lineRule="auto"/>
      <w:ind w:left="720"/>
      <w:contextualSpacing/>
      <w:jc w:val="left"/>
    </w:pPr>
    <w:rPr>
      <w:rFonts w:ascii="Calibri" w:hAnsi="Calibri"/>
      <w:color w:val="000000"/>
      <w:sz w:val="22"/>
      <w:szCs w:val="20"/>
    </w:rPr>
  </w:style>
  <w:style w:type="character" w:customStyle="1" w:styleId="a5">
    <w:name w:val="Абзац списка Знак"/>
    <w:basedOn w:val="a0"/>
    <w:link w:val="a4"/>
    <w:rsid w:val="00E6658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8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1145140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870F-C948-4CD4-9939-92DBE37E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Викторовна</dc:creator>
  <cp:keywords/>
  <dc:description/>
  <cp:lastModifiedBy>Будина Диана Михайловна</cp:lastModifiedBy>
  <cp:revision>56</cp:revision>
  <cp:lastPrinted>2022-09-08T13:40:00Z</cp:lastPrinted>
  <dcterms:created xsi:type="dcterms:W3CDTF">2022-09-08T13:11:00Z</dcterms:created>
  <dcterms:modified xsi:type="dcterms:W3CDTF">2022-12-29T14:31:00Z</dcterms:modified>
</cp:coreProperties>
</file>