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C2" w:rsidRDefault="009B25C2" w:rsidP="009B25C2">
      <w:pPr>
        <w:pStyle w:val="Standard"/>
        <w:jc w:val="right"/>
        <w:rPr>
          <w:rFonts w:ascii="Times New Roman CYR" w:eastAsia="Times New Roman CYR" w:hAnsi="Times New Roman CYR" w:cs="Times New Roman CYR"/>
          <w:b/>
          <w:bCs/>
          <w:color w:val="000000"/>
          <w:sz w:val="20"/>
          <w:szCs w:val="20"/>
        </w:rPr>
      </w:pPr>
      <w:r>
        <w:rPr>
          <w:rFonts w:ascii="Times New Roman CYR" w:eastAsia="Times New Roman CYR" w:hAnsi="Times New Roman CYR" w:cs="Times New Roman CYR"/>
          <w:b/>
          <w:bCs/>
          <w:color w:val="000000"/>
          <w:sz w:val="20"/>
          <w:szCs w:val="20"/>
        </w:rPr>
        <w:t>Приложение №1</w:t>
      </w:r>
    </w:p>
    <w:p w:rsidR="009B25C2" w:rsidRDefault="009B25C2" w:rsidP="009B25C2">
      <w:pPr>
        <w:pStyle w:val="Standard"/>
        <w:jc w:val="right"/>
      </w:pPr>
      <w:r>
        <w:rPr>
          <w:rFonts w:ascii="Times New Roman CYR" w:eastAsia="Times New Roman CYR" w:hAnsi="Times New Roman CYR" w:cs="Times New Roman CYR"/>
          <w:b/>
          <w:bCs/>
          <w:color w:val="000000"/>
          <w:sz w:val="20"/>
          <w:szCs w:val="20"/>
        </w:rPr>
        <w:t xml:space="preserve">к </w:t>
      </w:r>
      <w:r>
        <w:rPr>
          <w:rFonts w:ascii="Times New Roman CYR" w:eastAsia="Times New Roman CYR" w:hAnsi="Times New Roman CYR" w:cs="Times New Roman CYR"/>
          <w:b/>
          <w:bCs/>
          <w:color w:val="000000"/>
          <w:sz w:val="20"/>
          <w:szCs w:val="20"/>
        </w:rPr>
        <w:t>Извещению</w:t>
      </w:r>
    </w:p>
    <w:p w:rsidR="009B25C2" w:rsidRDefault="009B25C2" w:rsidP="009B25C2">
      <w:pPr>
        <w:pStyle w:val="Standard"/>
        <w:jc w:val="center"/>
        <w:rPr>
          <w:rFonts w:ascii="Times New Roman CYR" w:eastAsia="Times New Roman CYR" w:hAnsi="Times New Roman CYR" w:cs="Times New Roman CYR"/>
          <w:b/>
          <w:bCs/>
          <w:color w:val="000000"/>
          <w:sz w:val="20"/>
          <w:szCs w:val="20"/>
        </w:rPr>
      </w:pPr>
    </w:p>
    <w:p w:rsidR="009B25C2" w:rsidRDefault="009B25C2" w:rsidP="009B25C2">
      <w:pPr>
        <w:pStyle w:val="Standard"/>
        <w:jc w:val="center"/>
        <w:rPr>
          <w:rFonts w:ascii="Times New Roman CYR" w:eastAsia="Times New Roman CYR" w:hAnsi="Times New Roman CYR" w:cs="Times New Roman CYR"/>
          <w:b/>
          <w:bCs/>
          <w:color w:val="000000"/>
          <w:sz w:val="20"/>
          <w:szCs w:val="20"/>
        </w:rPr>
      </w:pPr>
    </w:p>
    <w:p w:rsidR="009B25C2" w:rsidRDefault="009B25C2" w:rsidP="009B25C2">
      <w:pPr>
        <w:pStyle w:val="Standard"/>
        <w:autoSpaceDE w:val="0"/>
        <w:ind w:firstLine="707"/>
        <w:jc w:val="center"/>
        <w:rPr>
          <w:rFonts w:ascii="Times New Roman CYR" w:eastAsia="Times New Roman CYR" w:hAnsi="Times New Roman CYR" w:cs="Times New Roman CYR"/>
          <w:b/>
          <w:bCs/>
          <w:color w:val="000000"/>
          <w:sz w:val="20"/>
          <w:szCs w:val="20"/>
        </w:rPr>
      </w:pPr>
      <w:r>
        <w:rPr>
          <w:rFonts w:ascii="Times New Roman CYR" w:eastAsia="Times New Roman CYR" w:hAnsi="Times New Roman CYR" w:cs="Times New Roman CYR"/>
          <w:b/>
          <w:bCs/>
          <w:color w:val="000000"/>
          <w:sz w:val="20"/>
          <w:szCs w:val="20"/>
        </w:rPr>
        <w:t>Техническое задание</w:t>
      </w:r>
    </w:p>
    <w:p w:rsidR="009B25C2" w:rsidRDefault="009B25C2" w:rsidP="009B25C2">
      <w:pPr>
        <w:pStyle w:val="Standard"/>
        <w:autoSpaceDE w:val="0"/>
        <w:ind w:firstLine="708"/>
        <w:jc w:val="center"/>
        <w:rPr>
          <w:rFonts w:ascii="Times New Roman CYR" w:eastAsia="Times New Roman CYR" w:hAnsi="Times New Roman CYR" w:cs="Times New Roman CYR"/>
          <w:b/>
          <w:bCs/>
          <w:sz w:val="20"/>
          <w:szCs w:val="20"/>
        </w:rPr>
      </w:pPr>
      <w:r>
        <w:rPr>
          <w:rFonts w:ascii="Times New Roman CYR" w:eastAsia="Times New Roman CYR" w:hAnsi="Times New Roman CYR" w:cs="Times New Roman CYR"/>
          <w:b/>
          <w:bCs/>
          <w:sz w:val="20"/>
          <w:szCs w:val="20"/>
        </w:rPr>
        <w:t>на выполнение работ по обеспечению инвалидов протезами,</w:t>
      </w:r>
    </w:p>
    <w:p w:rsidR="009B25C2" w:rsidRDefault="009B25C2" w:rsidP="009B25C2">
      <w:pPr>
        <w:pStyle w:val="Standard"/>
        <w:autoSpaceDE w:val="0"/>
        <w:ind w:firstLine="708"/>
        <w:jc w:val="center"/>
      </w:pPr>
      <w:r>
        <w:rPr>
          <w:rFonts w:ascii="Times New Roman CYR" w:eastAsia="Times New Roman CYR" w:hAnsi="Times New Roman CYR" w:cs="Times New Roman CYR"/>
          <w:b/>
          <w:bCs/>
          <w:sz w:val="20"/>
          <w:szCs w:val="20"/>
        </w:rPr>
        <w:t>протезно-ортопедическими изделиями в 202</w:t>
      </w:r>
      <w:r>
        <w:rPr>
          <w:rFonts w:eastAsia="Times New Roman CYR" w:cs="Times New Roman"/>
          <w:b/>
          <w:bCs/>
          <w:sz w:val="20"/>
          <w:szCs w:val="20"/>
        </w:rPr>
        <w:t xml:space="preserve">3 </w:t>
      </w:r>
      <w:r>
        <w:rPr>
          <w:rFonts w:ascii="Times New Roman CYR" w:eastAsia="Times New Roman CYR" w:hAnsi="Times New Roman CYR" w:cs="Times New Roman CYR"/>
          <w:b/>
          <w:bCs/>
          <w:sz w:val="20"/>
          <w:szCs w:val="20"/>
        </w:rPr>
        <w:t>году.</w:t>
      </w:r>
    </w:p>
    <w:p w:rsidR="009B25C2" w:rsidRDefault="009B25C2" w:rsidP="009B25C2">
      <w:pPr>
        <w:pStyle w:val="Standard"/>
        <w:autoSpaceDE w:val="0"/>
        <w:ind w:firstLine="707"/>
        <w:jc w:val="both"/>
        <w:rPr>
          <w:rFonts w:ascii="Times New Roman CYR" w:eastAsia="Times New Roman CYR" w:hAnsi="Times New Roman CYR" w:cs="Times New Roman CYR"/>
          <w:b/>
          <w:bCs/>
          <w:sz w:val="20"/>
          <w:szCs w:val="20"/>
        </w:rPr>
      </w:pPr>
    </w:p>
    <w:p w:rsidR="009B25C2" w:rsidRDefault="009B25C2" w:rsidP="009B25C2">
      <w:pPr>
        <w:pStyle w:val="Standard"/>
        <w:numPr>
          <w:ilvl w:val="0"/>
          <w:numId w:val="1"/>
        </w:numPr>
        <w:autoSpaceDE w:val="0"/>
        <w:jc w:val="both"/>
      </w:pPr>
      <w:r>
        <w:rPr>
          <w:rFonts w:ascii="Times New Roman CYR" w:eastAsia="Times New Roman CYR" w:hAnsi="Times New Roman CYR" w:cs="Times New Roman CYR"/>
          <w:b/>
          <w:bCs/>
          <w:color w:val="000000"/>
          <w:sz w:val="20"/>
          <w:szCs w:val="20"/>
        </w:rPr>
        <w:t xml:space="preserve">Способ определения поставщика: </w:t>
      </w:r>
      <w:r>
        <w:rPr>
          <w:rFonts w:eastAsia="Times New Roman CYR" w:cs="Times New Roman CYR"/>
          <w:color w:val="000000"/>
          <w:sz w:val="20"/>
          <w:szCs w:val="20"/>
        </w:rPr>
        <w:t>А</w:t>
      </w:r>
      <w:r>
        <w:rPr>
          <w:rFonts w:eastAsia="Times New Roman CYR" w:cs="Times New Roman CYR"/>
          <w:sz w:val="20"/>
          <w:szCs w:val="20"/>
        </w:rPr>
        <w:t>укцион в электронной форме.</w:t>
      </w:r>
    </w:p>
    <w:p w:rsidR="009B25C2" w:rsidRDefault="009B25C2" w:rsidP="009B25C2">
      <w:pPr>
        <w:pStyle w:val="Standard"/>
        <w:numPr>
          <w:ilvl w:val="0"/>
          <w:numId w:val="1"/>
        </w:numPr>
        <w:autoSpaceDE w:val="0"/>
        <w:jc w:val="both"/>
      </w:pPr>
      <w:r>
        <w:rPr>
          <w:rFonts w:ascii="Times New Roman CYR" w:eastAsia="Times New Roman CYR" w:hAnsi="Times New Roman CYR" w:cs="Times New Roman CYR"/>
          <w:b/>
          <w:bCs/>
          <w:color w:val="000000"/>
          <w:sz w:val="20"/>
          <w:szCs w:val="20"/>
        </w:rPr>
        <w:t>Предмет государственного контракта</w:t>
      </w:r>
      <w:r>
        <w:rPr>
          <w:rFonts w:ascii="Times New Roman CYR" w:eastAsia="Times New Roman CYR" w:hAnsi="Times New Roman CYR" w:cs="Times New Roman CYR"/>
          <w:b/>
          <w:bCs/>
          <w:sz w:val="20"/>
          <w:szCs w:val="20"/>
        </w:rPr>
        <w:t>:</w:t>
      </w:r>
      <w:r>
        <w:rPr>
          <w:rFonts w:ascii="Times New Roman CYR" w:eastAsia="Times New Roman CYR" w:hAnsi="Times New Roman CYR" w:cs="Times New Roman CYR"/>
          <w:sz w:val="20"/>
          <w:szCs w:val="20"/>
        </w:rPr>
        <w:t xml:space="preserve"> Выполнение работ по обеспечению инвалидов протезами, протезно-ортопедическими изделиями</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в 2023 году.</w:t>
      </w:r>
    </w:p>
    <w:p w:rsidR="009B25C2" w:rsidRDefault="001769D2" w:rsidP="009B25C2">
      <w:pPr>
        <w:pStyle w:val="Standard"/>
        <w:autoSpaceDE w:val="0"/>
        <w:ind w:left="720"/>
        <w:jc w:val="both"/>
      </w:pPr>
      <w:r>
        <w:rPr>
          <w:rFonts w:eastAsia="Times New Roman CYR" w:cs="Times New Roman CYR"/>
          <w:b/>
          <w:bCs/>
          <w:sz w:val="20"/>
          <w:szCs w:val="20"/>
        </w:rPr>
        <w:t>Т</w:t>
      </w:r>
      <w:r w:rsidR="009B25C2">
        <w:rPr>
          <w:rFonts w:eastAsia="Times New Roman CYR" w:cs="Times New Roman CYR"/>
          <w:b/>
          <w:bCs/>
          <w:sz w:val="20"/>
          <w:szCs w:val="20"/>
        </w:rPr>
        <w:t>уторы верхних конечностей.</w:t>
      </w:r>
    </w:p>
    <w:p w:rsidR="009B25C2" w:rsidRDefault="009B25C2" w:rsidP="009B25C2">
      <w:pPr>
        <w:pStyle w:val="Standard"/>
        <w:ind w:firstLine="709"/>
        <w:rPr>
          <w:rFonts w:eastAsia="Times New Roman CYR" w:cs="Times New Roman CYR"/>
          <w:b/>
          <w:bCs/>
          <w:sz w:val="20"/>
          <w:szCs w:val="20"/>
        </w:rPr>
      </w:pPr>
    </w:p>
    <w:tbl>
      <w:tblPr>
        <w:tblW w:w="9600" w:type="dxa"/>
        <w:tblInd w:w="21" w:type="dxa"/>
        <w:tblLayout w:type="fixed"/>
        <w:tblCellMar>
          <w:left w:w="10" w:type="dxa"/>
          <w:right w:w="10" w:type="dxa"/>
        </w:tblCellMar>
        <w:tblLook w:val="04A0" w:firstRow="1" w:lastRow="0" w:firstColumn="1" w:lastColumn="0" w:noHBand="0" w:noVBand="1"/>
      </w:tblPr>
      <w:tblGrid>
        <w:gridCol w:w="1650"/>
        <w:gridCol w:w="4393"/>
        <w:gridCol w:w="1037"/>
        <w:gridCol w:w="1116"/>
        <w:gridCol w:w="1404"/>
      </w:tblGrid>
      <w:tr w:rsidR="009B25C2" w:rsidTr="009B25C2">
        <w:tc>
          <w:tcPr>
            <w:tcW w:w="16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Наименование</w:t>
            </w:r>
          </w:p>
        </w:tc>
        <w:tc>
          <w:tcPr>
            <w:tcW w:w="43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Технические характеристики</w:t>
            </w:r>
          </w:p>
        </w:tc>
        <w:tc>
          <w:tcPr>
            <w:tcW w:w="10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Кол-во, шт.</w:t>
            </w:r>
          </w:p>
        </w:tc>
        <w:tc>
          <w:tcPr>
            <w:tcW w:w="11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Цена за ед., руб.</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Сумма, руб.</w:t>
            </w:r>
          </w:p>
        </w:tc>
      </w:tr>
      <w:tr w:rsidR="009B25C2" w:rsidTr="009B25C2">
        <w:tc>
          <w:tcPr>
            <w:tcW w:w="1650" w:type="dxa"/>
            <w:tcBorders>
              <w:top w:val="nil"/>
              <w:left w:val="single" w:sz="4" w:space="0" w:color="000000"/>
              <w:bottom w:val="single" w:sz="4" w:space="0" w:color="000000"/>
              <w:right w:val="nil"/>
            </w:tcBorders>
            <w:tcMar>
              <w:top w:w="0" w:type="dxa"/>
              <w:left w:w="108" w:type="dxa"/>
              <w:bottom w:w="0" w:type="dxa"/>
              <w:right w:w="108" w:type="dxa"/>
            </w:tcMar>
          </w:tcPr>
          <w:p w:rsidR="009B25C2" w:rsidRDefault="009B25C2">
            <w:pPr>
              <w:pStyle w:val="Standard"/>
              <w:keepNext/>
              <w:snapToGrid w:val="0"/>
              <w:jc w:val="center"/>
              <w:rPr>
                <w:sz w:val="20"/>
                <w:szCs w:val="20"/>
              </w:rPr>
            </w:pPr>
            <w:r>
              <w:rPr>
                <w:sz w:val="20"/>
                <w:szCs w:val="20"/>
              </w:rPr>
              <w:t>Тутор на лучезапястный сустав</w:t>
            </w:r>
          </w:p>
          <w:p w:rsidR="009B25C2" w:rsidRDefault="009B25C2">
            <w:pPr>
              <w:pStyle w:val="Standard"/>
              <w:snapToGrid w:val="0"/>
              <w:jc w:val="center"/>
              <w:rPr>
                <w:sz w:val="20"/>
                <w:szCs w:val="20"/>
              </w:rPr>
            </w:pPr>
          </w:p>
        </w:tc>
        <w:tc>
          <w:tcPr>
            <w:tcW w:w="4393"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snapToGrid w:val="0"/>
              <w:jc w:val="both"/>
              <w:rPr>
                <w:sz w:val="20"/>
                <w:szCs w:val="20"/>
              </w:rPr>
            </w:pPr>
            <w:r>
              <w:rPr>
                <w:sz w:val="20"/>
                <w:szCs w:val="20"/>
              </w:rPr>
              <w:t>Тутор на лучезапястный сустав должен обеспечить фиксацию лучезапястного сустава. Изготавливается индивидуально по слепкам из полиэтилена высокого или низкого давления.  Допускается смягчение подкладочным материалом с мелкоячеистой структурой внутренних стенок тутора. Допускается декорирование термобумагой.  Крепление на шнуровке или на застёжках типа «Контакт (</w:t>
            </w:r>
            <w:proofErr w:type="spellStart"/>
            <w:r>
              <w:rPr>
                <w:sz w:val="20"/>
                <w:szCs w:val="20"/>
              </w:rPr>
              <w:t>Велкро</w:t>
            </w:r>
            <w:proofErr w:type="spellEnd"/>
            <w:r>
              <w:rPr>
                <w:sz w:val="20"/>
                <w:szCs w:val="20"/>
              </w:rPr>
              <w:t>)»</w:t>
            </w:r>
          </w:p>
        </w:tc>
        <w:tc>
          <w:tcPr>
            <w:tcW w:w="1037"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120</w:t>
            </w:r>
          </w:p>
        </w:tc>
        <w:tc>
          <w:tcPr>
            <w:tcW w:w="1116" w:type="dxa"/>
            <w:tcBorders>
              <w:top w:val="nil"/>
              <w:left w:val="single" w:sz="4" w:space="0" w:color="000000"/>
              <w:bottom w:val="single" w:sz="4" w:space="0" w:color="000000"/>
              <w:right w:val="nil"/>
            </w:tcBorders>
            <w:tcMar>
              <w:top w:w="0" w:type="dxa"/>
              <w:left w:w="108" w:type="dxa"/>
              <w:bottom w:w="0" w:type="dxa"/>
              <w:right w:w="108" w:type="dxa"/>
            </w:tcMar>
          </w:tcPr>
          <w:p w:rsidR="009B25C2" w:rsidRDefault="009B25C2">
            <w:pPr>
              <w:pStyle w:val="Standard"/>
              <w:keepNext/>
              <w:snapToGrid w:val="0"/>
              <w:jc w:val="center"/>
              <w:rPr>
                <w:sz w:val="20"/>
                <w:szCs w:val="20"/>
              </w:rPr>
            </w:pPr>
            <w:r>
              <w:rPr>
                <w:sz w:val="20"/>
                <w:szCs w:val="20"/>
              </w:rPr>
              <w:t>5 108,88</w:t>
            </w:r>
          </w:p>
          <w:p w:rsidR="009B25C2" w:rsidRDefault="009B25C2">
            <w:pPr>
              <w:pStyle w:val="Standard"/>
              <w:snapToGrid w:val="0"/>
              <w:jc w:val="center"/>
              <w:rPr>
                <w:sz w:val="20"/>
                <w:szCs w:val="20"/>
              </w:rPr>
            </w:pPr>
          </w:p>
        </w:tc>
        <w:tc>
          <w:tcPr>
            <w:tcW w:w="14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B25C2" w:rsidRDefault="009B25C2">
            <w:pPr>
              <w:pStyle w:val="Standard"/>
              <w:keepNext/>
              <w:snapToGrid w:val="0"/>
              <w:jc w:val="center"/>
              <w:rPr>
                <w:sz w:val="20"/>
                <w:szCs w:val="20"/>
              </w:rPr>
            </w:pPr>
            <w:r>
              <w:rPr>
                <w:sz w:val="20"/>
                <w:szCs w:val="20"/>
              </w:rPr>
              <w:t>613 065,60</w:t>
            </w:r>
          </w:p>
          <w:p w:rsidR="009B25C2" w:rsidRDefault="009B25C2">
            <w:pPr>
              <w:pStyle w:val="Standard"/>
              <w:snapToGrid w:val="0"/>
              <w:jc w:val="center"/>
              <w:rPr>
                <w:sz w:val="20"/>
                <w:szCs w:val="20"/>
              </w:rPr>
            </w:pPr>
          </w:p>
        </w:tc>
      </w:tr>
      <w:tr w:rsidR="009B25C2" w:rsidTr="009B25C2">
        <w:tc>
          <w:tcPr>
            <w:tcW w:w="1650"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Тутор на локтевой сустав</w:t>
            </w:r>
          </w:p>
        </w:tc>
        <w:tc>
          <w:tcPr>
            <w:tcW w:w="4393"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snapToGrid w:val="0"/>
              <w:jc w:val="both"/>
              <w:rPr>
                <w:sz w:val="20"/>
                <w:szCs w:val="20"/>
              </w:rPr>
            </w:pPr>
            <w:r>
              <w:rPr>
                <w:sz w:val="20"/>
                <w:szCs w:val="20"/>
              </w:rPr>
              <w:t>Тутор на локтевой состав должен обеспечить фиксацию локтевого сустава. Изготавливается индивидуально по слепкам из полиэтилена высокого или низкого давления.  Допускается смягчение подкладочным материалом с мелкоячеистой структурой внутренних стенок тутора. Допускается декорирование термобумагой.  Крепление на шнуровке или на застёжках типа «Контакт (</w:t>
            </w:r>
            <w:proofErr w:type="spellStart"/>
            <w:r>
              <w:rPr>
                <w:sz w:val="20"/>
                <w:szCs w:val="20"/>
              </w:rPr>
              <w:t>Велкро</w:t>
            </w:r>
            <w:proofErr w:type="spellEnd"/>
            <w:r>
              <w:rPr>
                <w:sz w:val="20"/>
                <w:szCs w:val="20"/>
              </w:rPr>
              <w:t>)»</w:t>
            </w:r>
          </w:p>
        </w:tc>
        <w:tc>
          <w:tcPr>
            <w:tcW w:w="1037"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80</w:t>
            </w:r>
          </w:p>
        </w:tc>
        <w:tc>
          <w:tcPr>
            <w:tcW w:w="1116" w:type="dxa"/>
            <w:tcBorders>
              <w:top w:val="nil"/>
              <w:left w:val="single" w:sz="4" w:space="0" w:color="000000"/>
              <w:bottom w:val="single" w:sz="4" w:space="0" w:color="000000"/>
              <w:right w:val="nil"/>
            </w:tcBorders>
            <w:tcMar>
              <w:top w:w="0" w:type="dxa"/>
              <w:left w:w="108" w:type="dxa"/>
              <w:bottom w:w="0" w:type="dxa"/>
              <w:right w:w="108" w:type="dxa"/>
            </w:tcMar>
          </w:tcPr>
          <w:p w:rsidR="009B25C2" w:rsidRDefault="009B25C2">
            <w:pPr>
              <w:pStyle w:val="Standard"/>
              <w:keepNext/>
              <w:snapToGrid w:val="0"/>
              <w:jc w:val="center"/>
              <w:rPr>
                <w:sz w:val="20"/>
                <w:szCs w:val="20"/>
              </w:rPr>
            </w:pPr>
            <w:r>
              <w:rPr>
                <w:sz w:val="20"/>
                <w:szCs w:val="20"/>
              </w:rPr>
              <w:t>4 551,37</w:t>
            </w:r>
          </w:p>
          <w:p w:rsidR="009B25C2" w:rsidRDefault="009B25C2">
            <w:pPr>
              <w:pStyle w:val="Standard"/>
              <w:snapToGrid w:val="0"/>
              <w:jc w:val="center"/>
              <w:rPr>
                <w:sz w:val="20"/>
                <w:szCs w:val="20"/>
              </w:rPr>
            </w:pPr>
          </w:p>
        </w:tc>
        <w:tc>
          <w:tcPr>
            <w:tcW w:w="14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B25C2" w:rsidRDefault="009B25C2">
            <w:pPr>
              <w:pStyle w:val="Standard"/>
              <w:keepNext/>
              <w:snapToGrid w:val="0"/>
              <w:jc w:val="center"/>
              <w:rPr>
                <w:sz w:val="20"/>
                <w:szCs w:val="20"/>
              </w:rPr>
            </w:pPr>
            <w:r>
              <w:rPr>
                <w:sz w:val="20"/>
                <w:szCs w:val="20"/>
              </w:rPr>
              <w:t>364 109,60</w:t>
            </w:r>
          </w:p>
          <w:p w:rsidR="009B25C2" w:rsidRDefault="009B25C2">
            <w:pPr>
              <w:pStyle w:val="Standard"/>
              <w:snapToGrid w:val="0"/>
              <w:jc w:val="center"/>
              <w:rPr>
                <w:sz w:val="20"/>
                <w:szCs w:val="20"/>
              </w:rPr>
            </w:pPr>
          </w:p>
        </w:tc>
      </w:tr>
      <w:tr w:rsidR="009B25C2" w:rsidTr="009B25C2">
        <w:tc>
          <w:tcPr>
            <w:tcW w:w="1650"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snapToGrid w:val="0"/>
              <w:jc w:val="center"/>
              <w:rPr>
                <w:sz w:val="20"/>
                <w:szCs w:val="20"/>
              </w:rPr>
            </w:pPr>
            <w:r>
              <w:rPr>
                <w:sz w:val="20"/>
                <w:szCs w:val="20"/>
              </w:rPr>
              <w:t>Тутор на плечевой сустав</w:t>
            </w:r>
          </w:p>
        </w:tc>
        <w:tc>
          <w:tcPr>
            <w:tcW w:w="4393"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snapToGrid w:val="0"/>
              <w:jc w:val="both"/>
              <w:rPr>
                <w:sz w:val="20"/>
                <w:szCs w:val="20"/>
              </w:rPr>
            </w:pPr>
            <w:r>
              <w:rPr>
                <w:sz w:val="20"/>
                <w:szCs w:val="20"/>
              </w:rPr>
              <w:t xml:space="preserve">Тутор на плечевой сустав. Изделие максимальной готовности с индивидуальной подгонкой по пациенту. Материал постоянной приемной гильзы – трехслойная ортопедическая ткань. Состоит из двух </w:t>
            </w:r>
            <w:proofErr w:type="gramStart"/>
            <w:r>
              <w:rPr>
                <w:sz w:val="20"/>
                <w:szCs w:val="20"/>
              </w:rPr>
              <w:t>манжет</w:t>
            </w:r>
            <w:proofErr w:type="gramEnd"/>
            <w:r>
              <w:rPr>
                <w:sz w:val="20"/>
                <w:szCs w:val="20"/>
              </w:rPr>
              <w:t xml:space="preserve"> скрепленных между собой, и двух металлических шин для более жесткой фиксации плечевого сустава. Крепление гильзы индивидуальное. Показан при повреждениях </w:t>
            </w:r>
            <w:proofErr w:type="spellStart"/>
            <w:r>
              <w:rPr>
                <w:sz w:val="20"/>
                <w:szCs w:val="20"/>
              </w:rPr>
              <w:t>связочно</w:t>
            </w:r>
            <w:proofErr w:type="spellEnd"/>
            <w:r>
              <w:rPr>
                <w:sz w:val="20"/>
                <w:szCs w:val="20"/>
              </w:rPr>
              <w:t xml:space="preserve">-мышечного аппарата плечевого сустава и ключично-акромиального сочленения; в период ранней реабилитации после травм или операций в области плечевого сустава; при привычных вывихах плеча; плече-лопаточного </w:t>
            </w:r>
            <w:proofErr w:type="spellStart"/>
            <w:r>
              <w:rPr>
                <w:sz w:val="20"/>
                <w:szCs w:val="20"/>
              </w:rPr>
              <w:t>переартрита</w:t>
            </w:r>
            <w:proofErr w:type="spellEnd"/>
            <w:r>
              <w:rPr>
                <w:sz w:val="20"/>
                <w:szCs w:val="20"/>
              </w:rPr>
              <w:t xml:space="preserve">, </w:t>
            </w:r>
            <w:proofErr w:type="spellStart"/>
            <w:r>
              <w:rPr>
                <w:sz w:val="20"/>
                <w:szCs w:val="20"/>
              </w:rPr>
              <w:t>остеоартроза</w:t>
            </w:r>
            <w:proofErr w:type="spellEnd"/>
            <w:r>
              <w:rPr>
                <w:sz w:val="20"/>
                <w:szCs w:val="20"/>
              </w:rPr>
              <w:t>.</w:t>
            </w:r>
          </w:p>
        </w:tc>
        <w:tc>
          <w:tcPr>
            <w:tcW w:w="1037"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20</w:t>
            </w:r>
          </w:p>
        </w:tc>
        <w:tc>
          <w:tcPr>
            <w:tcW w:w="1116"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3 808,00</w:t>
            </w:r>
          </w:p>
        </w:tc>
        <w:tc>
          <w:tcPr>
            <w:tcW w:w="14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B25C2" w:rsidRDefault="009B25C2">
            <w:pPr>
              <w:pStyle w:val="Standard"/>
              <w:keepNext/>
              <w:snapToGrid w:val="0"/>
              <w:jc w:val="center"/>
              <w:rPr>
                <w:sz w:val="20"/>
                <w:szCs w:val="20"/>
              </w:rPr>
            </w:pPr>
            <w:r>
              <w:rPr>
                <w:sz w:val="20"/>
                <w:szCs w:val="20"/>
              </w:rPr>
              <w:t>76 160,00</w:t>
            </w:r>
          </w:p>
          <w:p w:rsidR="009B25C2" w:rsidRDefault="009B25C2">
            <w:pPr>
              <w:pStyle w:val="Standard"/>
              <w:snapToGrid w:val="0"/>
              <w:jc w:val="center"/>
              <w:rPr>
                <w:sz w:val="20"/>
                <w:szCs w:val="20"/>
              </w:rPr>
            </w:pPr>
          </w:p>
        </w:tc>
      </w:tr>
      <w:tr w:rsidR="009B25C2" w:rsidTr="009B25C2">
        <w:tc>
          <w:tcPr>
            <w:tcW w:w="1650"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lastRenderedPageBreak/>
              <w:t>Тутор на всю руку</w:t>
            </w:r>
          </w:p>
        </w:tc>
        <w:tc>
          <w:tcPr>
            <w:tcW w:w="4393"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snapToGrid w:val="0"/>
              <w:jc w:val="both"/>
              <w:rPr>
                <w:sz w:val="20"/>
                <w:szCs w:val="20"/>
              </w:rPr>
            </w:pPr>
            <w:r>
              <w:rPr>
                <w:sz w:val="20"/>
                <w:szCs w:val="20"/>
              </w:rPr>
              <w:t xml:space="preserve">Тутор на всю руку представляет собой жёсткую гильзу с элементами её крепления на руке. Гильза обхватывает часть кисти (до пальцев), предплечье, плечо и плечевой сустав. Верхний конец гильзы должен захватывать сзади область лопатки, сверху – доходить до границы шеи и </w:t>
            </w:r>
            <w:proofErr w:type="spellStart"/>
            <w:r>
              <w:rPr>
                <w:sz w:val="20"/>
                <w:szCs w:val="20"/>
              </w:rPr>
              <w:t>надплечья</w:t>
            </w:r>
            <w:proofErr w:type="spellEnd"/>
            <w:r>
              <w:rPr>
                <w:sz w:val="20"/>
                <w:szCs w:val="20"/>
              </w:rPr>
              <w:t>, а спереди – захватывать область грудной мышцы, не доходя до соска. Для освобождения I пальца в гильзе делаются вырезы в области лучезапястного сустава в передней части и в области кисти.</w:t>
            </w:r>
          </w:p>
          <w:p w:rsidR="009B25C2" w:rsidRDefault="009B25C2">
            <w:pPr>
              <w:pStyle w:val="Standard"/>
              <w:snapToGrid w:val="0"/>
              <w:jc w:val="both"/>
              <w:rPr>
                <w:sz w:val="20"/>
                <w:szCs w:val="20"/>
              </w:rPr>
            </w:pPr>
            <w:r>
              <w:rPr>
                <w:sz w:val="20"/>
                <w:szCs w:val="20"/>
              </w:rPr>
              <w:t xml:space="preserve">Гильза </w:t>
            </w:r>
            <w:proofErr w:type="gramStart"/>
            <w:r>
              <w:rPr>
                <w:sz w:val="20"/>
                <w:szCs w:val="20"/>
              </w:rPr>
              <w:t>тутора  изготавливается</w:t>
            </w:r>
            <w:proofErr w:type="gramEnd"/>
            <w:r>
              <w:rPr>
                <w:sz w:val="20"/>
                <w:szCs w:val="20"/>
              </w:rPr>
              <w:t xml:space="preserve"> из листового полиэтилена (высокой или низкой плотности) или слоистого пластика на основе литьевых смол отечественного или зарубежного производства. Внутренняя поверхность гильзы может быть смягчена вспененным полиэтиленом или другим смягчающим материалом. Тутор надевают непосредственно на конечность пациента и закрепляют на руке с помощью лент с застёжкой текстильной «контакт» и ремня, который обхватывает туловище больного и застёгивается обычно на кнопку.</w:t>
            </w:r>
          </w:p>
        </w:tc>
        <w:tc>
          <w:tcPr>
            <w:tcW w:w="1037"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sz w:val="20"/>
                <w:szCs w:val="20"/>
              </w:rPr>
            </w:pPr>
            <w:r>
              <w:rPr>
                <w:sz w:val="20"/>
                <w:szCs w:val="20"/>
              </w:rPr>
              <w:t>80</w:t>
            </w:r>
          </w:p>
        </w:tc>
        <w:tc>
          <w:tcPr>
            <w:tcW w:w="1116" w:type="dxa"/>
            <w:tcBorders>
              <w:top w:val="nil"/>
              <w:left w:val="single" w:sz="4" w:space="0" w:color="000000"/>
              <w:bottom w:val="single" w:sz="4" w:space="0" w:color="000000"/>
              <w:right w:val="nil"/>
            </w:tcBorders>
            <w:tcMar>
              <w:top w:w="0" w:type="dxa"/>
              <w:left w:w="108" w:type="dxa"/>
              <w:bottom w:w="0" w:type="dxa"/>
              <w:right w:w="108" w:type="dxa"/>
            </w:tcMar>
          </w:tcPr>
          <w:p w:rsidR="009B25C2" w:rsidRDefault="009B25C2">
            <w:pPr>
              <w:pStyle w:val="Standard"/>
              <w:keepNext/>
              <w:snapToGrid w:val="0"/>
              <w:jc w:val="center"/>
              <w:rPr>
                <w:sz w:val="20"/>
                <w:szCs w:val="20"/>
              </w:rPr>
            </w:pPr>
            <w:r>
              <w:rPr>
                <w:sz w:val="20"/>
                <w:szCs w:val="20"/>
              </w:rPr>
              <w:t>7 767,77</w:t>
            </w:r>
          </w:p>
          <w:p w:rsidR="009B25C2" w:rsidRDefault="009B25C2">
            <w:pPr>
              <w:pStyle w:val="Standard"/>
              <w:snapToGrid w:val="0"/>
              <w:jc w:val="center"/>
              <w:rPr>
                <w:sz w:val="20"/>
                <w:szCs w:val="20"/>
              </w:rPr>
            </w:pPr>
          </w:p>
        </w:tc>
        <w:tc>
          <w:tcPr>
            <w:tcW w:w="14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B25C2" w:rsidRDefault="009B25C2">
            <w:pPr>
              <w:pStyle w:val="Standard"/>
              <w:keepNext/>
              <w:snapToGrid w:val="0"/>
              <w:jc w:val="center"/>
              <w:rPr>
                <w:sz w:val="20"/>
                <w:szCs w:val="20"/>
              </w:rPr>
            </w:pPr>
            <w:r>
              <w:rPr>
                <w:sz w:val="20"/>
                <w:szCs w:val="20"/>
              </w:rPr>
              <w:t>621 421,60</w:t>
            </w:r>
          </w:p>
          <w:p w:rsidR="009B25C2" w:rsidRDefault="009B25C2">
            <w:pPr>
              <w:pStyle w:val="Standard"/>
              <w:snapToGrid w:val="0"/>
              <w:jc w:val="center"/>
              <w:rPr>
                <w:sz w:val="20"/>
                <w:szCs w:val="20"/>
              </w:rPr>
            </w:pPr>
          </w:p>
        </w:tc>
      </w:tr>
      <w:tr w:rsidR="009B25C2" w:rsidTr="009B25C2">
        <w:tc>
          <w:tcPr>
            <w:tcW w:w="9600" w:type="dxa"/>
            <w:gridSpan w:val="5"/>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9B25C2" w:rsidRDefault="009B25C2">
            <w:pPr>
              <w:pStyle w:val="Standard"/>
              <w:keepNext/>
              <w:snapToGrid w:val="0"/>
              <w:jc w:val="both"/>
            </w:pPr>
            <w:r>
              <w:rPr>
                <w:sz w:val="20"/>
                <w:szCs w:val="20"/>
              </w:rPr>
              <w:t xml:space="preserve">Все изделия должны соответствовать требованиям: ГОСТ Р 51632-2014 (разд. 4,5), ГОСТ Р 52878-2007, ГОСТ </w:t>
            </w:r>
            <w:r>
              <w:rPr>
                <w:sz w:val="20"/>
                <w:szCs w:val="20"/>
                <w:lang w:val="en-US"/>
              </w:rPr>
              <w:t>ISO</w:t>
            </w:r>
            <w:r>
              <w:rPr>
                <w:sz w:val="20"/>
                <w:szCs w:val="20"/>
              </w:rPr>
              <w:t xml:space="preserve"> 10993-1-2011, ГОСТ </w:t>
            </w:r>
            <w:r>
              <w:rPr>
                <w:sz w:val="20"/>
                <w:szCs w:val="20"/>
                <w:lang w:val="en-US"/>
              </w:rPr>
              <w:t>ISO</w:t>
            </w:r>
            <w:r>
              <w:rPr>
                <w:sz w:val="20"/>
                <w:szCs w:val="20"/>
              </w:rPr>
              <w:t xml:space="preserve"> 10993-5-2011, ГОСТ </w:t>
            </w:r>
            <w:r>
              <w:rPr>
                <w:sz w:val="20"/>
                <w:szCs w:val="20"/>
                <w:lang w:val="en-US"/>
              </w:rPr>
              <w:t>ISO</w:t>
            </w:r>
            <w:r>
              <w:rPr>
                <w:sz w:val="20"/>
                <w:szCs w:val="20"/>
              </w:rPr>
              <w:t xml:space="preserve"> 10993-10-2011, ГОСТ </w:t>
            </w:r>
            <w:r>
              <w:rPr>
                <w:sz w:val="20"/>
                <w:szCs w:val="20"/>
                <w:lang w:val="en-US"/>
              </w:rPr>
              <w:t>ISO</w:t>
            </w:r>
            <w:r>
              <w:rPr>
                <w:sz w:val="20"/>
                <w:szCs w:val="20"/>
              </w:rPr>
              <w:t xml:space="preserve"> 10993-11-2011, ГОСТ Р 52770-2007. Срок гарантии изделий не менее 12 месяцев.</w:t>
            </w:r>
          </w:p>
        </w:tc>
      </w:tr>
      <w:tr w:rsidR="009B25C2" w:rsidTr="009B25C2">
        <w:tc>
          <w:tcPr>
            <w:tcW w:w="6043" w:type="dxa"/>
            <w:gridSpan w:val="2"/>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right"/>
              <w:rPr>
                <w:b/>
                <w:bCs/>
                <w:sz w:val="20"/>
                <w:szCs w:val="20"/>
              </w:rPr>
            </w:pPr>
            <w:r>
              <w:rPr>
                <w:b/>
                <w:bCs/>
                <w:sz w:val="20"/>
                <w:szCs w:val="20"/>
              </w:rPr>
              <w:t>ИТОГО</w:t>
            </w:r>
          </w:p>
        </w:tc>
        <w:tc>
          <w:tcPr>
            <w:tcW w:w="1037" w:type="dxa"/>
            <w:tcBorders>
              <w:top w:val="nil"/>
              <w:left w:val="single" w:sz="4" w:space="0" w:color="000000"/>
              <w:bottom w:val="single" w:sz="4" w:space="0" w:color="000000"/>
              <w:right w:val="nil"/>
            </w:tcBorders>
            <w:tcMar>
              <w:top w:w="0" w:type="dxa"/>
              <w:left w:w="108" w:type="dxa"/>
              <w:bottom w:w="0" w:type="dxa"/>
              <w:right w:w="108" w:type="dxa"/>
            </w:tcMar>
            <w:hideMark/>
          </w:tcPr>
          <w:p w:rsidR="009B25C2" w:rsidRDefault="009B25C2">
            <w:pPr>
              <w:pStyle w:val="Standard"/>
              <w:keepNext/>
              <w:snapToGrid w:val="0"/>
              <w:jc w:val="center"/>
              <w:rPr>
                <w:b/>
                <w:bCs/>
                <w:sz w:val="20"/>
                <w:szCs w:val="20"/>
              </w:rPr>
            </w:pPr>
            <w:r>
              <w:rPr>
                <w:b/>
                <w:bCs/>
                <w:sz w:val="20"/>
                <w:szCs w:val="20"/>
              </w:rPr>
              <w:t>300</w:t>
            </w:r>
          </w:p>
        </w:tc>
        <w:tc>
          <w:tcPr>
            <w:tcW w:w="1116" w:type="dxa"/>
            <w:tcBorders>
              <w:top w:val="nil"/>
              <w:left w:val="single" w:sz="4" w:space="0" w:color="000000"/>
              <w:bottom w:val="single" w:sz="4" w:space="0" w:color="000000"/>
              <w:right w:val="nil"/>
            </w:tcBorders>
            <w:tcMar>
              <w:top w:w="0" w:type="dxa"/>
              <w:left w:w="108" w:type="dxa"/>
              <w:bottom w:w="0" w:type="dxa"/>
              <w:right w:w="108" w:type="dxa"/>
            </w:tcMar>
          </w:tcPr>
          <w:p w:rsidR="009B25C2" w:rsidRDefault="009B25C2">
            <w:pPr>
              <w:pStyle w:val="Standard"/>
              <w:keepNext/>
              <w:snapToGrid w:val="0"/>
              <w:jc w:val="center"/>
              <w:rPr>
                <w:b/>
                <w:bCs/>
                <w:sz w:val="20"/>
                <w:szCs w:val="20"/>
              </w:rPr>
            </w:pPr>
          </w:p>
        </w:tc>
        <w:tc>
          <w:tcPr>
            <w:tcW w:w="140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9B25C2" w:rsidRDefault="009B25C2">
            <w:pPr>
              <w:pStyle w:val="Standard"/>
              <w:keepNext/>
              <w:snapToGrid w:val="0"/>
              <w:jc w:val="center"/>
              <w:rPr>
                <w:b/>
                <w:bCs/>
                <w:sz w:val="20"/>
                <w:szCs w:val="20"/>
              </w:rPr>
            </w:pPr>
            <w:r>
              <w:rPr>
                <w:b/>
                <w:bCs/>
                <w:sz w:val="20"/>
                <w:szCs w:val="20"/>
              </w:rPr>
              <w:t>1 674 756,80</w:t>
            </w:r>
          </w:p>
        </w:tc>
      </w:tr>
    </w:tbl>
    <w:p w:rsidR="009B25C2" w:rsidRDefault="009B25C2" w:rsidP="009B25C2">
      <w:pPr>
        <w:pStyle w:val="Standard"/>
        <w:ind w:firstLine="709"/>
        <w:rPr>
          <w:rFonts w:eastAsia="Times New Roman CYR" w:cs="Times New Roman CYR"/>
          <w:b/>
          <w:bCs/>
          <w:sz w:val="20"/>
          <w:szCs w:val="20"/>
        </w:rPr>
      </w:pPr>
    </w:p>
    <w:p w:rsidR="009B25C2" w:rsidRDefault="009B25C2" w:rsidP="009B25C2">
      <w:pPr>
        <w:pStyle w:val="Standard"/>
        <w:ind w:firstLine="709"/>
        <w:rPr>
          <w:rFonts w:eastAsia="Times New Roman CYR" w:cs="Times New Roman CYR"/>
          <w:b/>
          <w:bCs/>
          <w:sz w:val="20"/>
          <w:szCs w:val="20"/>
        </w:rPr>
      </w:pPr>
    </w:p>
    <w:p w:rsidR="009B25C2" w:rsidRDefault="009B25C2" w:rsidP="009B25C2">
      <w:pPr>
        <w:pStyle w:val="Standard"/>
        <w:numPr>
          <w:ilvl w:val="0"/>
          <w:numId w:val="2"/>
        </w:numPr>
      </w:pPr>
      <w:r>
        <w:rPr>
          <w:b/>
          <w:sz w:val="20"/>
          <w:szCs w:val="20"/>
        </w:rPr>
        <w:t>Источник финансирования заказа</w:t>
      </w:r>
      <w:r>
        <w:rPr>
          <w:rFonts w:eastAsia="Times New Roman CYR" w:cs="Times New Roman CYR"/>
          <w:sz w:val="20"/>
          <w:szCs w:val="20"/>
        </w:rPr>
        <w:t>: федеральный бюджет.</w:t>
      </w:r>
    </w:p>
    <w:p w:rsidR="009B25C2" w:rsidRDefault="009B25C2" w:rsidP="009B25C2">
      <w:pPr>
        <w:pStyle w:val="a3"/>
        <w:numPr>
          <w:ilvl w:val="0"/>
          <w:numId w:val="2"/>
        </w:numPr>
        <w:spacing w:before="0" w:after="0"/>
      </w:pPr>
      <w:r>
        <w:rPr>
          <w:b/>
          <w:bCs/>
          <w:color w:val="000000"/>
          <w:sz w:val="20"/>
          <w:szCs w:val="20"/>
        </w:rPr>
        <w:t xml:space="preserve">Начальная (максимальная) цена контракта: </w:t>
      </w:r>
      <w:r>
        <w:rPr>
          <w:b/>
          <w:bCs/>
          <w:sz w:val="20"/>
          <w:szCs w:val="20"/>
        </w:rPr>
        <w:t xml:space="preserve">1 674 756 </w:t>
      </w:r>
      <w:r>
        <w:rPr>
          <w:color w:val="000000"/>
          <w:sz w:val="20"/>
          <w:szCs w:val="20"/>
        </w:rPr>
        <w:t xml:space="preserve">рублей </w:t>
      </w:r>
      <w:r>
        <w:rPr>
          <w:b/>
          <w:color w:val="000000"/>
          <w:sz w:val="20"/>
          <w:szCs w:val="20"/>
        </w:rPr>
        <w:t>80</w:t>
      </w:r>
      <w:r>
        <w:rPr>
          <w:color w:val="000000"/>
          <w:sz w:val="20"/>
          <w:szCs w:val="20"/>
        </w:rPr>
        <w:t xml:space="preserve"> копеек.</w:t>
      </w:r>
      <w:r>
        <w:rPr>
          <w:rFonts w:eastAsia="Times New Roman CYR"/>
          <w:color w:val="000000"/>
          <w:sz w:val="20"/>
          <w:szCs w:val="20"/>
        </w:rPr>
        <w:t xml:space="preserve"> </w:t>
      </w:r>
    </w:p>
    <w:p w:rsidR="009B25C2" w:rsidRDefault="009B25C2" w:rsidP="009B25C2">
      <w:pPr>
        <w:pStyle w:val="Standard"/>
        <w:numPr>
          <w:ilvl w:val="0"/>
          <w:numId w:val="2"/>
        </w:numPr>
        <w:autoSpaceDE w:val="0"/>
        <w:jc w:val="both"/>
      </w:pPr>
      <w:r>
        <w:rPr>
          <w:rFonts w:eastAsia="Times New Roman CYR" w:cs="Times New Roman"/>
          <w:b/>
          <w:color w:val="000000"/>
          <w:sz w:val="20"/>
          <w:szCs w:val="20"/>
        </w:rPr>
        <w:t xml:space="preserve">Расчет начальной (максимальной) цены контракта: </w:t>
      </w:r>
      <w:r>
        <w:rPr>
          <w:rFonts w:eastAsia="Times New Roman CYR" w:cs="Times New Roman"/>
          <w:color w:val="000000"/>
          <w:sz w:val="20"/>
          <w:szCs w:val="20"/>
        </w:rPr>
        <w:t>начальная (максимальная) цена контракта сформирована методом сопоставимых рыночных цен (анализа рынка). Приложение№2.</w:t>
      </w:r>
    </w:p>
    <w:p w:rsidR="009B25C2" w:rsidRDefault="009B25C2" w:rsidP="009B25C2">
      <w:pPr>
        <w:pStyle w:val="Standard"/>
        <w:numPr>
          <w:ilvl w:val="0"/>
          <w:numId w:val="2"/>
        </w:numPr>
        <w:autoSpaceDE w:val="0"/>
        <w:jc w:val="both"/>
      </w:pPr>
      <w:r>
        <w:rPr>
          <w:rFonts w:cs="Times New Roman"/>
          <w:b/>
          <w:sz w:val="20"/>
          <w:szCs w:val="20"/>
        </w:rPr>
        <w:t xml:space="preserve">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 </w:t>
      </w:r>
      <w:bookmarkStart w:id="0" w:name="_GoBack"/>
      <w:r>
        <w:rPr>
          <w:rFonts w:cs="Times New Roman"/>
          <w:sz w:val="20"/>
          <w:szCs w:val="20"/>
        </w:rPr>
        <w:t xml:space="preserve">цена контракта включает в себя все расходы Исполнителя, связанные с исполнением обязательств по контракту, в том числе расходы на закупку, страхование, уплату всех пошлин, налогов и обязательных платежей, а также передача </w:t>
      </w:r>
      <w:r>
        <w:rPr>
          <w:rFonts w:cs="Times New Roman"/>
          <w:i/>
          <w:sz w:val="20"/>
          <w:szCs w:val="20"/>
        </w:rPr>
        <w:t xml:space="preserve">Туторов верхних конечностей </w:t>
      </w:r>
      <w:r>
        <w:rPr>
          <w:rFonts w:cs="Times New Roman"/>
          <w:sz w:val="20"/>
          <w:szCs w:val="20"/>
        </w:rPr>
        <w:t>(далее – Изделие) Получателю до места пребывания в пределах территории Республики Саха (Якутия), гарантийное обслуживание.</w:t>
      </w:r>
    </w:p>
    <w:bookmarkEnd w:id="0"/>
    <w:p w:rsidR="009B25C2" w:rsidRDefault="009B25C2" w:rsidP="009B25C2">
      <w:pPr>
        <w:pStyle w:val="a4"/>
        <w:numPr>
          <w:ilvl w:val="0"/>
          <w:numId w:val="2"/>
        </w:numPr>
        <w:jc w:val="both"/>
      </w:pPr>
      <w:r>
        <w:rPr>
          <w:rFonts w:cs="Times New Roman"/>
          <w:b/>
          <w:sz w:val="20"/>
          <w:szCs w:val="20"/>
        </w:rPr>
        <w:t xml:space="preserve">Место, условия и сроки (периоды) поставки товара, выполнения работ, оказания услуг: </w:t>
      </w:r>
      <w:r>
        <w:rPr>
          <w:rFonts w:cs="Times New Roman"/>
          <w:sz w:val="20"/>
          <w:szCs w:val="20"/>
        </w:rPr>
        <w:t xml:space="preserve">выполнение работ по снятию мерок с Получателя, по подгонке Изделий в присутствии и при участии Получателя, а также передача готовых Изделий Получателю и их приёмка Получателем, включая случаи гарантийного ремонта, производятся по месту пребывания Получателя на территории Республики Саха (Якутия), либо (по согласованию с Получателем и Заказчиком) по месту нахождения Заказчика или по месту нахождения Исполнителя в ГО «Якутск». Передача Получателям готового Изделия осуществляется в течение 60 (шестидесяти) календарных дней с даты получения Исполнителем от Заказчика Реестра получателей Изделий, но не позднее «15» сентября 2023 года. </w:t>
      </w:r>
    </w:p>
    <w:p w:rsidR="009B25C2" w:rsidRDefault="009B25C2" w:rsidP="009B25C2">
      <w:pPr>
        <w:pStyle w:val="Standard"/>
        <w:numPr>
          <w:ilvl w:val="0"/>
          <w:numId w:val="2"/>
        </w:numPr>
        <w:autoSpaceDE w:val="0"/>
        <w:jc w:val="both"/>
      </w:pPr>
      <w:r>
        <w:rPr>
          <w:rFonts w:cs="Times New Roman"/>
          <w:b/>
          <w:bCs/>
          <w:color w:val="000000"/>
          <w:sz w:val="20"/>
          <w:szCs w:val="20"/>
        </w:rPr>
        <w:t>Ф</w:t>
      </w:r>
      <w:r>
        <w:rPr>
          <w:rFonts w:cs="Times New Roman"/>
          <w:b/>
          <w:color w:val="000000"/>
          <w:sz w:val="20"/>
          <w:szCs w:val="20"/>
        </w:rPr>
        <w:t>орма, сроки и порядок оплаты товара, работ, услуг:</w:t>
      </w:r>
      <w:r>
        <w:rPr>
          <w:rFonts w:cs="Times New Roman"/>
          <w:sz w:val="20"/>
          <w:szCs w:val="20"/>
        </w:rPr>
        <w:t xml:space="preserve"> </w:t>
      </w:r>
      <w:r>
        <w:rPr>
          <w:rFonts w:eastAsia="Times New Roman CYR" w:cs="Times New Roman"/>
          <w:sz w:val="20"/>
          <w:szCs w:val="20"/>
        </w:rPr>
        <w:t>оплата производится Заказчиком по безналичному расчету в течение 7 (семи)</w:t>
      </w:r>
      <w:r>
        <w:rPr>
          <w:rFonts w:cs="Times New Roman"/>
          <w:sz w:val="20"/>
          <w:szCs w:val="20"/>
        </w:rPr>
        <w:t xml:space="preserve"> </w:t>
      </w:r>
      <w:r>
        <w:rPr>
          <w:rFonts w:eastAsia="Times New Roman CYR" w:cs="Times New Roman"/>
          <w:sz w:val="20"/>
          <w:szCs w:val="20"/>
        </w:rPr>
        <w:t>рабочих дней со дня подписания Заказчиком документа о приемке, сформированного Исполнителем в единой информационной системе.</w:t>
      </w:r>
    </w:p>
    <w:p w:rsidR="009B25C2" w:rsidRDefault="009B25C2" w:rsidP="009B25C2">
      <w:pPr>
        <w:pStyle w:val="a4"/>
        <w:widowControl/>
        <w:numPr>
          <w:ilvl w:val="0"/>
          <w:numId w:val="2"/>
        </w:numPr>
        <w:tabs>
          <w:tab w:val="left" w:pos="720"/>
          <w:tab w:val="left" w:pos="925"/>
          <w:tab w:val="left" w:pos="13176"/>
        </w:tabs>
        <w:autoSpaceDE w:val="0"/>
        <w:spacing w:line="100" w:lineRule="atLeast"/>
        <w:jc w:val="both"/>
      </w:pPr>
      <w:r>
        <w:rPr>
          <w:rFonts w:eastAsia="Times New Roman CYR" w:cs="Times New Roman"/>
          <w:b/>
          <w:bCs/>
          <w:color w:val="000000"/>
          <w:sz w:val="20"/>
          <w:szCs w:val="20"/>
          <w:lang w:eastAsia="ar-SA" w:bidi="ar-SA"/>
        </w:rPr>
        <w:t>Размер обеспечения гарантийных обязательств государственного контракта:</w:t>
      </w:r>
      <w:r>
        <w:rPr>
          <w:rFonts w:eastAsia="Times New Roman CYR" w:cs="Times New Roman"/>
          <w:color w:val="000000"/>
          <w:sz w:val="20"/>
          <w:szCs w:val="20"/>
          <w:lang w:eastAsia="ar-SA" w:bidi="ar-SA"/>
        </w:rPr>
        <w:t xml:space="preserve"> 5% от начальной (максимальной) цены контракта.</w:t>
      </w:r>
    </w:p>
    <w:p w:rsidR="009B25C2" w:rsidRDefault="009B25C2" w:rsidP="009B25C2">
      <w:pPr>
        <w:pStyle w:val="a4"/>
        <w:widowControl/>
        <w:numPr>
          <w:ilvl w:val="0"/>
          <w:numId w:val="2"/>
        </w:numPr>
        <w:tabs>
          <w:tab w:val="left" w:pos="720"/>
          <w:tab w:val="left" w:pos="925"/>
          <w:tab w:val="left" w:pos="6696"/>
          <w:tab w:val="left" w:pos="13176"/>
        </w:tabs>
        <w:autoSpaceDE w:val="0"/>
        <w:spacing w:line="100" w:lineRule="atLeast"/>
        <w:jc w:val="both"/>
      </w:pPr>
      <w:r>
        <w:rPr>
          <w:rFonts w:eastAsia="Times New Roman CYR" w:cs="Times New Roman"/>
          <w:b/>
          <w:bCs/>
          <w:color w:val="000000"/>
          <w:sz w:val="20"/>
          <w:szCs w:val="20"/>
          <w:lang w:eastAsia="ar-SA" w:bidi="ar-SA"/>
        </w:rPr>
        <w:t>Размер обеспечения исполнения государственного контракта:</w:t>
      </w:r>
      <w:r>
        <w:rPr>
          <w:rFonts w:eastAsia="Times New Roman CYR" w:cs="Times New Roman"/>
          <w:color w:val="000000"/>
          <w:sz w:val="20"/>
          <w:szCs w:val="20"/>
          <w:lang w:eastAsia="ar-SA" w:bidi="ar-SA"/>
        </w:rPr>
        <w:t xml:space="preserve"> 30% от начальной (максимальной) цены контракта</w:t>
      </w:r>
    </w:p>
    <w:p w:rsidR="009B25C2" w:rsidRDefault="009B25C2" w:rsidP="009B25C2">
      <w:pPr>
        <w:pStyle w:val="a4"/>
        <w:widowControl/>
        <w:numPr>
          <w:ilvl w:val="0"/>
          <w:numId w:val="2"/>
        </w:numPr>
        <w:tabs>
          <w:tab w:val="left" w:pos="720"/>
          <w:tab w:val="left" w:pos="925"/>
          <w:tab w:val="left" w:pos="6480"/>
          <w:tab w:val="left" w:pos="6696"/>
          <w:tab w:val="left" w:pos="12960"/>
          <w:tab w:val="left" w:pos="13176"/>
        </w:tabs>
        <w:autoSpaceDE w:val="0"/>
        <w:spacing w:line="100" w:lineRule="atLeast"/>
        <w:jc w:val="both"/>
      </w:pPr>
      <w:r>
        <w:rPr>
          <w:rFonts w:cs="Times New Roman"/>
          <w:b/>
          <w:bCs/>
          <w:color w:val="000000"/>
          <w:sz w:val="20"/>
          <w:szCs w:val="20"/>
        </w:rPr>
        <w:t xml:space="preserve">Размер обеспечения заявки: </w:t>
      </w:r>
      <w:r>
        <w:rPr>
          <w:rFonts w:cs="Times New Roman"/>
          <w:color w:val="000000"/>
          <w:sz w:val="20"/>
          <w:szCs w:val="20"/>
        </w:rPr>
        <w:t>1% от начальной (максимальной) цены контракта.</w:t>
      </w:r>
    </w:p>
    <w:p w:rsidR="00B9282E" w:rsidRDefault="001769D2"/>
    <w:sectPr w:rsidR="00B9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3E01"/>
    <w:multiLevelType w:val="multilevel"/>
    <w:tmpl w:val="002C1916"/>
    <w:lvl w:ilvl="0">
      <w:start w:val="3"/>
      <w:numFmt w:val="decimal"/>
      <w:lvlText w:val="%1."/>
      <w:lvlJc w:val="left"/>
      <w:pPr>
        <w:ind w:left="720" w:hanging="360"/>
      </w:pPr>
      <w:rPr>
        <w:b/>
        <w:bCs/>
        <w:sz w:val="24"/>
        <w:szCs w:val="24"/>
      </w:rPr>
    </w:lvl>
    <w:lvl w:ilvl="1">
      <w:start w:val="1"/>
      <w:numFmt w:val="decimal"/>
      <w:lvlText w:val="%2."/>
      <w:lvlJc w:val="left"/>
      <w:pPr>
        <w:ind w:left="1080" w:hanging="360"/>
      </w:pPr>
      <w:rPr>
        <w:b/>
        <w:bCs/>
        <w:sz w:val="24"/>
        <w:szCs w:val="24"/>
      </w:rPr>
    </w:lvl>
    <w:lvl w:ilvl="2">
      <w:start w:val="1"/>
      <w:numFmt w:val="decimal"/>
      <w:lvlText w:val="%3."/>
      <w:lvlJc w:val="left"/>
      <w:pPr>
        <w:ind w:left="1440" w:hanging="360"/>
      </w:pPr>
      <w:rPr>
        <w:b/>
        <w:bCs/>
        <w:sz w:val="24"/>
        <w:szCs w:val="24"/>
      </w:rPr>
    </w:lvl>
    <w:lvl w:ilvl="3">
      <w:start w:val="1"/>
      <w:numFmt w:val="decimal"/>
      <w:lvlText w:val="%4."/>
      <w:lvlJc w:val="left"/>
      <w:pPr>
        <w:ind w:left="1800" w:hanging="360"/>
      </w:pPr>
      <w:rPr>
        <w:b/>
        <w:bCs/>
        <w:sz w:val="24"/>
        <w:szCs w:val="24"/>
      </w:rPr>
    </w:lvl>
    <w:lvl w:ilvl="4">
      <w:start w:val="1"/>
      <w:numFmt w:val="decimal"/>
      <w:lvlText w:val="%5."/>
      <w:lvlJc w:val="left"/>
      <w:pPr>
        <w:ind w:left="2160" w:hanging="360"/>
      </w:pPr>
      <w:rPr>
        <w:b/>
        <w:bCs/>
        <w:sz w:val="24"/>
        <w:szCs w:val="24"/>
      </w:rPr>
    </w:lvl>
    <w:lvl w:ilvl="5">
      <w:start w:val="1"/>
      <w:numFmt w:val="decimal"/>
      <w:lvlText w:val="%6."/>
      <w:lvlJc w:val="left"/>
      <w:pPr>
        <w:ind w:left="2520" w:hanging="360"/>
      </w:pPr>
      <w:rPr>
        <w:b/>
        <w:bCs/>
        <w:sz w:val="24"/>
        <w:szCs w:val="24"/>
      </w:rPr>
    </w:lvl>
    <w:lvl w:ilvl="6">
      <w:start w:val="1"/>
      <w:numFmt w:val="decimal"/>
      <w:lvlText w:val="%7."/>
      <w:lvlJc w:val="left"/>
      <w:pPr>
        <w:ind w:left="2880" w:hanging="360"/>
      </w:pPr>
      <w:rPr>
        <w:b/>
        <w:bCs/>
        <w:sz w:val="24"/>
        <w:szCs w:val="24"/>
      </w:rPr>
    </w:lvl>
    <w:lvl w:ilvl="7">
      <w:start w:val="1"/>
      <w:numFmt w:val="decimal"/>
      <w:lvlText w:val="%8."/>
      <w:lvlJc w:val="left"/>
      <w:pPr>
        <w:ind w:left="3240" w:hanging="360"/>
      </w:pPr>
      <w:rPr>
        <w:b/>
        <w:bCs/>
        <w:sz w:val="24"/>
        <w:szCs w:val="24"/>
      </w:rPr>
    </w:lvl>
    <w:lvl w:ilvl="8">
      <w:start w:val="1"/>
      <w:numFmt w:val="decimal"/>
      <w:lvlText w:val="%9."/>
      <w:lvlJc w:val="left"/>
      <w:pPr>
        <w:ind w:left="3600" w:hanging="360"/>
      </w:pPr>
      <w:rPr>
        <w:b/>
        <w:bCs/>
        <w:sz w:val="24"/>
        <w:szCs w:val="24"/>
      </w:rPr>
    </w:lvl>
  </w:abstractNum>
  <w:abstractNum w:abstractNumId="1">
    <w:nsid w:val="2B1A5059"/>
    <w:multiLevelType w:val="multilevel"/>
    <w:tmpl w:val="4C862C4C"/>
    <w:lvl w:ilvl="0">
      <w:start w:val="1"/>
      <w:numFmt w:val="decimal"/>
      <w:lvlText w:val="%1."/>
      <w:lvlJc w:val="left"/>
      <w:pPr>
        <w:ind w:left="720" w:hanging="360"/>
      </w:pPr>
      <w:rPr>
        <w:b/>
        <w:bCs/>
        <w:sz w:val="24"/>
        <w:szCs w:val="24"/>
      </w:rPr>
    </w:lvl>
    <w:lvl w:ilvl="1">
      <w:start w:val="1"/>
      <w:numFmt w:val="decimal"/>
      <w:lvlText w:val="%2."/>
      <w:lvlJc w:val="left"/>
      <w:pPr>
        <w:ind w:left="1080" w:hanging="360"/>
      </w:pPr>
      <w:rPr>
        <w:b/>
        <w:bCs/>
        <w:sz w:val="24"/>
        <w:szCs w:val="24"/>
      </w:rPr>
    </w:lvl>
    <w:lvl w:ilvl="2">
      <w:start w:val="1"/>
      <w:numFmt w:val="decimal"/>
      <w:lvlText w:val="%3."/>
      <w:lvlJc w:val="left"/>
      <w:pPr>
        <w:ind w:left="1440" w:hanging="360"/>
      </w:pPr>
      <w:rPr>
        <w:b/>
        <w:bCs/>
        <w:sz w:val="24"/>
        <w:szCs w:val="24"/>
      </w:rPr>
    </w:lvl>
    <w:lvl w:ilvl="3">
      <w:start w:val="1"/>
      <w:numFmt w:val="decimal"/>
      <w:lvlText w:val="%4."/>
      <w:lvlJc w:val="left"/>
      <w:pPr>
        <w:ind w:left="1800" w:hanging="360"/>
      </w:pPr>
      <w:rPr>
        <w:b/>
        <w:bCs/>
        <w:sz w:val="24"/>
        <w:szCs w:val="24"/>
      </w:rPr>
    </w:lvl>
    <w:lvl w:ilvl="4">
      <w:start w:val="1"/>
      <w:numFmt w:val="decimal"/>
      <w:lvlText w:val="%5."/>
      <w:lvlJc w:val="left"/>
      <w:pPr>
        <w:ind w:left="2160" w:hanging="360"/>
      </w:pPr>
      <w:rPr>
        <w:b/>
        <w:bCs/>
        <w:sz w:val="24"/>
        <w:szCs w:val="24"/>
      </w:rPr>
    </w:lvl>
    <w:lvl w:ilvl="5">
      <w:start w:val="1"/>
      <w:numFmt w:val="decimal"/>
      <w:lvlText w:val="%6."/>
      <w:lvlJc w:val="left"/>
      <w:pPr>
        <w:ind w:left="2520" w:hanging="360"/>
      </w:pPr>
      <w:rPr>
        <w:b/>
        <w:bCs/>
        <w:sz w:val="24"/>
        <w:szCs w:val="24"/>
      </w:rPr>
    </w:lvl>
    <w:lvl w:ilvl="6">
      <w:start w:val="1"/>
      <w:numFmt w:val="decimal"/>
      <w:lvlText w:val="%7."/>
      <w:lvlJc w:val="left"/>
      <w:pPr>
        <w:ind w:left="2880" w:hanging="360"/>
      </w:pPr>
      <w:rPr>
        <w:b/>
        <w:bCs/>
        <w:sz w:val="24"/>
        <w:szCs w:val="24"/>
      </w:rPr>
    </w:lvl>
    <w:lvl w:ilvl="7">
      <w:start w:val="1"/>
      <w:numFmt w:val="decimal"/>
      <w:lvlText w:val="%8."/>
      <w:lvlJc w:val="left"/>
      <w:pPr>
        <w:ind w:left="3240" w:hanging="360"/>
      </w:pPr>
      <w:rPr>
        <w:b/>
        <w:bCs/>
        <w:sz w:val="24"/>
        <w:szCs w:val="24"/>
      </w:rPr>
    </w:lvl>
    <w:lvl w:ilvl="8">
      <w:start w:val="1"/>
      <w:numFmt w:val="decimal"/>
      <w:lvlText w:val="%9."/>
      <w:lvlJc w:val="left"/>
      <w:pPr>
        <w:ind w:left="3600" w:hanging="360"/>
      </w:pPr>
      <w:rPr>
        <w:b/>
        <w:bCs/>
        <w:sz w:val="24"/>
        <w:szCs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23"/>
    <w:rsid w:val="000B42B5"/>
    <w:rsid w:val="001769D2"/>
    <w:rsid w:val="006D5F23"/>
    <w:rsid w:val="0074413A"/>
    <w:rsid w:val="009B2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E6C48-9C97-45AE-88DD-23AAB145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5C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B25C2"/>
    <w:pPr>
      <w:widowControl/>
      <w:suppressAutoHyphens w:val="0"/>
      <w:spacing w:before="100" w:after="119"/>
    </w:pPr>
    <w:rPr>
      <w:rFonts w:eastAsia="Times New Roman" w:cs="Times New Roman"/>
      <w:kern w:val="0"/>
      <w:lang w:eastAsia="ru-RU" w:bidi="ar-SA"/>
    </w:rPr>
  </w:style>
  <w:style w:type="paragraph" w:styleId="a4">
    <w:name w:val="List Paragraph"/>
    <w:basedOn w:val="a"/>
    <w:qFormat/>
    <w:rsid w:val="009B25C2"/>
    <w:pPr>
      <w:ind w:left="720"/>
    </w:pPr>
    <w:rPr>
      <w:szCs w:val="21"/>
    </w:rPr>
  </w:style>
  <w:style w:type="paragraph" w:customStyle="1" w:styleId="Standard">
    <w:name w:val="Standard"/>
    <w:rsid w:val="009B25C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a5">
    <w:name w:val="Balloon Text"/>
    <w:basedOn w:val="a"/>
    <w:link w:val="a6"/>
    <w:uiPriority w:val="99"/>
    <w:semiHidden/>
    <w:unhideWhenUsed/>
    <w:rsid w:val="001769D2"/>
    <w:rPr>
      <w:rFonts w:ascii="Segoe UI" w:hAnsi="Segoe UI"/>
      <w:sz w:val="18"/>
      <w:szCs w:val="16"/>
    </w:rPr>
  </w:style>
  <w:style w:type="character" w:customStyle="1" w:styleId="a6">
    <w:name w:val="Текст выноски Знак"/>
    <w:basedOn w:val="a0"/>
    <w:link w:val="a5"/>
    <w:uiPriority w:val="99"/>
    <w:semiHidden/>
    <w:rsid w:val="001769D2"/>
    <w:rPr>
      <w:rFonts w:ascii="Segoe UI" w:eastAsia="Arial Unicode MS"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Безрукова Елена Евгеньевна</dc:creator>
  <cp:keywords/>
  <dc:description/>
  <cp:lastModifiedBy>Безрукова Елена Евгеньевна</cp:lastModifiedBy>
  <cp:revision>3</cp:revision>
  <cp:lastPrinted>2022-10-27T06:59:00Z</cp:lastPrinted>
  <dcterms:created xsi:type="dcterms:W3CDTF">2022-10-27T06:51:00Z</dcterms:created>
  <dcterms:modified xsi:type="dcterms:W3CDTF">2022-10-27T07:00:00Z</dcterms:modified>
</cp:coreProperties>
</file>