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E9" w:rsidRDefault="00964BAE" w:rsidP="00964BAE">
      <w:pPr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4E0CE9" w:rsidRDefault="00355FD5" w:rsidP="004E0C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ЭА. </w:t>
      </w:r>
      <w:r w:rsidR="009C1DF2">
        <w:rPr>
          <w:rFonts w:ascii="Times New Roman" w:hAnsi="Times New Roman" w:cs="Times New Roman"/>
          <w:b/>
          <w:color w:val="000000"/>
        </w:rPr>
        <w:t>1</w:t>
      </w:r>
      <w:r w:rsidR="0046760E">
        <w:rPr>
          <w:rFonts w:ascii="Times New Roman" w:hAnsi="Times New Roman" w:cs="Times New Roman"/>
          <w:b/>
          <w:color w:val="000000"/>
        </w:rPr>
        <w:t>53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2142BF" w:rsidRDefault="000F7E24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5466A4" w:rsidRPr="005466A4">
        <w:rPr>
          <w:rFonts w:ascii="Times New Roman" w:hAnsi="Times New Roman" w:cs="Times New Roman"/>
        </w:rPr>
        <w:t>Выполнение работ по обеспечению в 2022 году застрахованных лиц, пострадавших в результате несчастных случаев на производстве протезами нижних конечностей</w:t>
      </w:r>
      <w:r w:rsidR="005466A4">
        <w:rPr>
          <w:rFonts w:ascii="Times New Roman" w:hAnsi="Times New Roman" w:cs="Times New Roman"/>
        </w:rPr>
        <w:t>.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1555"/>
        <w:gridCol w:w="8363"/>
        <w:gridCol w:w="709"/>
      </w:tblGrid>
      <w:tr w:rsidR="002142BF" w:rsidRPr="00D0390D" w:rsidTr="00652DC1">
        <w:trPr>
          <w:jc w:val="center"/>
        </w:trPr>
        <w:tc>
          <w:tcPr>
            <w:tcW w:w="1555" w:type="dxa"/>
          </w:tcPr>
          <w:p w:rsidR="002142BF" w:rsidRPr="00D0390D" w:rsidRDefault="002142BF" w:rsidP="002142BF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b/>
                <w:kern w:val="1"/>
                <w:lang w:eastAsia="ar-SA"/>
              </w:rPr>
              <w:t>Наименование</w:t>
            </w:r>
          </w:p>
        </w:tc>
        <w:tc>
          <w:tcPr>
            <w:tcW w:w="8363" w:type="dxa"/>
          </w:tcPr>
          <w:p w:rsidR="002142BF" w:rsidRPr="00D0390D" w:rsidRDefault="002142BF" w:rsidP="002142BF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b/>
                <w:kern w:val="1"/>
                <w:lang w:eastAsia="ar-SA"/>
              </w:rPr>
              <w:t>Характеристики</w:t>
            </w:r>
          </w:p>
        </w:tc>
        <w:tc>
          <w:tcPr>
            <w:tcW w:w="709" w:type="dxa"/>
          </w:tcPr>
          <w:p w:rsidR="002142BF" w:rsidRPr="00D0390D" w:rsidRDefault="002142BF" w:rsidP="00C81BE3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b/>
                <w:kern w:val="1"/>
                <w:lang w:eastAsia="ar-SA"/>
              </w:rPr>
              <w:t>Кол</w:t>
            </w:r>
            <w:r w:rsidR="00C81BE3">
              <w:rPr>
                <w:rFonts w:eastAsia="Lucida Sans Unicode" w:cs="Calibri"/>
                <w:b/>
                <w:kern w:val="1"/>
                <w:lang w:eastAsia="ar-SA"/>
              </w:rPr>
              <w:t>-</w:t>
            </w:r>
            <w:r w:rsidRPr="00D0390D">
              <w:rPr>
                <w:rFonts w:eastAsia="Lucida Sans Unicode" w:cs="Calibri"/>
                <w:b/>
                <w:kern w:val="1"/>
                <w:lang w:eastAsia="ar-SA"/>
              </w:rPr>
              <w:t>во, штук</w:t>
            </w:r>
          </w:p>
        </w:tc>
      </w:tr>
      <w:tr w:rsidR="002142BF" w:rsidRPr="00D0390D" w:rsidTr="00652DC1">
        <w:trPr>
          <w:jc w:val="center"/>
        </w:trPr>
        <w:tc>
          <w:tcPr>
            <w:tcW w:w="1555" w:type="dxa"/>
          </w:tcPr>
          <w:p w:rsidR="00520145" w:rsidRPr="00D0390D" w:rsidRDefault="00A53129" w:rsidP="00520145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SimSun" w:cs="Mangal"/>
                <w:b/>
                <w:kern w:val="1"/>
                <w:lang w:eastAsia="hi-IN"/>
              </w:rPr>
              <w:t xml:space="preserve">Протез бедра модульный, в том числе при врожденном недоразвитии </w:t>
            </w:r>
            <w:r w:rsidRPr="00D0390D">
              <w:rPr>
                <w:rFonts w:eastAsia="SimSun"/>
                <w:bCs/>
                <w:kern w:val="1"/>
                <w:lang w:eastAsia="hi-IN"/>
              </w:rPr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A53129" w:rsidRPr="00D0390D" w:rsidRDefault="00A53129" w:rsidP="00A53129">
            <w:pPr>
              <w:suppressAutoHyphens/>
              <w:jc w:val="both"/>
              <w:rPr>
                <w:lang w:eastAsia="ar-SA"/>
              </w:rPr>
            </w:pPr>
            <w:r w:rsidRPr="00D0390D">
              <w:rPr>
                <w:lang w:eastAsia="ar-SA"/>
              </w:rPr>
              <w:t xml:space="preserve">Протез бедра модульный с силиконовым чехлом должен состоять из: формообразующая часть косметической облицовки должна быть модульная из вспененного </w:t>
            </w:r>
            <w:proofErr w:type="spellStart"/>
            <w:r w:rsidRPr="00D0390D">
              <w:rPr>
                <w:lang w:eastAsia="ar-SA"/>
              </w:rPr>
              <w:t>пенополиуретана</w:t>
            </w:r>
            <w:proofErr w:type="spellEnd"/>
            <w:r w:rsidRPr="00D0390D">
              <w:rPr>
                <w:lang w:eastAsia="ar-SA"/>
              </w:rPr>
              <w:t xml:space="preserve">, косметическое покрытие облицовки должны быть </w:t>
            </w:r>
            <w:proofErr w:type="spellStart"/>
            <w:r w:rsidRPr="00D0390D">
              <w:rPr>
                <w:lang w:eastAsia="ar-SA"/>
              </w:rPr>
              <w:t>перлоновые</w:t>
            </w:r>
            <w:proofErr w:type="spellEnd"/>
            <w:r w:rsidRPr="00D0390D">
              <w:rPr>
                <w:lang w:eastAsia="ar-SA"/>
              </w:rPr>
              <w:t xml:space="preserve"> чулки, приёмная гильза должна быть индивидуальная (две пробные гильзы - </w:t>
            </w:r>
            <w:proofErr w:type="spellStart"/>
            <w:r w:rsidRPr="00D0390D">
              <w:rPr>
                <w:lang w:eastAsia="ar-SA"/>
              </w:rPr>
              <w:t>термолин</w:t>
            </w:r>
            <w:proofErr w:type="spellEnd"/>
            <w:r w:rsidRPr="00D0390D">
              <w:rPr>
                <w:lang w:eastAsia="ar-SA"/>
              </w:rPr>
              <w:t xml:space="preserve">), должна быть изготовлена по слепку с культи пациента, материал индивидуальной постоянной гильзы должен быть литьевой слоистый пластик на основе </w:t>
            </w:r>
            <w:proofErr w:type="spellStart"/>
            <w:r w:rsidRPr="00D0390D">
              <w:rPr>
                <w:lang w:eastAsia="ar-SA"/>
              </w:rPr>
              <w:t>ортокриловых</w:t>
            </w:r>
            <w:proofErr w:type="spellEnd"/>
            <w:r w:rsidRPr="00D0390D">
              <w:rPr>
                <w:lang w:eastAsia="ar-SA"/>
              </w:rPr>
              <w:t xml:space="preserve"> смол или листовой термопластичный пластик, или дерево (по назначению врача ортопеда). Возможно применение </w:t>
            </w:r>
            <w:proofErr w:type="spellStart"/>
            <w:r w:rsidRPr="00D0390D">
              <w:rPr>
                <w:lang w:eastAsia="ar-SA"/>
              </w:rPr>
              <w:t>мягкостенной</w:t>
            </w:r>
            <w:proofErr w:type="spellEnd"/>
            <w:r w:rsidRPr="00D0390D">
              <w:rPr>
                <w:lang w:eastAsia="ar-SA"/>
              </w:rPr>
              <w:t xml:space="preserve"> внутренней гильзы должны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В качестве вкладного элемента должны применяться чехлы силиконовые или гелиевые или полиуретановые, крепление чехла к протезу должно осуществляется с использованием замкового устройства для полимерных чехлов или за счет мембраны силиконового чехла,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гильзе, при необходимости с использованием вакуумного клапана, должно допускаться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изготовления, переходящего в бандаж, для улучшения статодинамических характеристик протеза (по заключению медико-технической комиссии предприятия, назначению врача ортопеда, исходя из индивидуальных потребностей получателя) Регулировочно-соединительные устройства должны быть рассчитаны под вес пациента. </w:t>
            </w:r>
            <w:r w:rsidRPr="00D0390D">
              <w:rPr>
                <w:color w:val="000000"/>
                <w:lang w:eastAsia="ar-SA"/>
              </w:rPr>
              <w:t xml:space="preserve">Поворотный РСУ, должен быть изготовлен из нержавеющей стали. Соединение в дистальной части – гнездо для </w:t>
            </w:r>
            <w:proofErr w:type="spellStart"/>
            <w:r w:rsidRPr="00D0390D">
              <w:rPr>
                <w:color w:val="000000"/>
                <w:lang w:eastAsia="ar-SA"/>
              </w:rPr>
              <w:t>юстировочной</w:t>
            </w:r>
            <w:proofErr w:type="spellEnd"/>
            <w:r w:rsidRPr="00D0390D">
              <w:rPr>
                <w:color w:val="000000"/>
                <w:lang w:eastAsia="ar-SA"/>
              </w:rPr>
              <w:t xml:space="preserve"> пирамидки, в проксимальной части – </w:t>
            </w:r>
            <w:proofErr w:type="spellStart"/>
            <w:r w:rsidRPr="00D0390D">
              <w:rPr>
                <w:color w:val="000000"/>
                <w:lang w:eastAsia="ar-SA"/>
              </w:rPr>
              <w:t>юстировочная</w:t>
            </w:r>
            <w:proofErr w:type="spellEnd"/>
            <w:r w:rsidRPr="00D0390D">
              <w:rPr>
                <w:color w:val="000000"/>
                <w:lang w:eastAsia="ar-SA"/>
              </w:rPr>
              <w:t xml:space="preserve"> пирамидка. Системная высота – 22мм. Вес – 170г. Вращение - 360°. </w:t>
            </w:r>
            <w:r w:rsidRPr="00D0390D">
              <w:rPr>
                <w:lang w:eastAsia="ar-SA"/>
              </w:rPr>
              <w:t xml:space="preserve">Стопа должна иметь пружинный элемент из карбона и управляющее кольцо,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D0390D">
              <w:rPr>
                <w:lang w:eastAsia="ar-SA"/>
              </w:rPr>
              <w:t>наступание</w:t>
            </w:r>
            <w:proofErr w:type="spellEnd"/>
            <w:r w:rsidRPr="00D0390D">
              <w:rPr>
                <w:lang w:eastAsia="ar-SA"/>
              </w:rPr>
              <w:t xml:space="preserve"> на пятку. Стопа должна позволять сохранять активность, начиная от медленной ходьбы и до занятия любительским спортом. </w:t>
            </w:r>
            <w:r w:rsidRPr="00D0390D">
              <w:rPr>
                <w:color w:val="000000"/>
                <w:lang w:eastAsia="ar-SA"/>
              </w:rPr>
              <w:t xml:space="preserve">Размерный ряд должен быть от 24 до 30 см. </w:t>
            </w:r>
            <w:r w:rsidRPr="00D0390D">
              <w:rPr>
                <w:bCs/>
                <w:lang w:eastAsia="ar-SA"/>
              </w:rPr>
              <w:t>Вес должен быть без косметической оболочки не более 490г. Строительная высота должна быть не более 81 мм</w:t>
            </w:r>
            <w:r w:rsidRPr="00D0390D">
              <w:rPr>
                <w:color w:val="000000"/>
                <w:lang w:eastAsia="ar-SA"/>
              </w:rPr>
              <w:t xml:space="preserve">. Высота каблука </w:t>
            </w:r>
            <w:r w:rsidRPr="00D0390D">
              <w:rPr>
                <w:rFonts w:eastAsia="SimSun"/>
                <w:bCs/>
                <w:kern w:val="1"/>
                <w:lang w:eastAsia="hi-IN"/>
              </w:rPr>
              <w:t>должна быть не менее</w:t>
            </w:r>
            <w:r w:rsidRPr="00D0390D">
              <w:rPr>
                <w:color w:val="000000"/>
                <w:lang w:eastAsia="ar-SA"/>
              </w:rPr>
              <w:t xml:space="preserve"> 5-15 мм или</w:t>
            </w:r>
            <w:r w:rsidRPr="00D0390D">
              <w:rPr>
                <w:lang w:eastAsia="ar-SA"/>
              </w:rPr>
              <w:t xml:space="preserve"> </w:t>
            </w:r>
            <w:r w:rsidRPr="00D0390D">
              <w:rPr>
                <w:color w:val="000000"/>
              </w:rPr>
              <w:t xml:space="preserve">карбоновая стопа с высокими амортизационными свойствами и улучшенными торсионными характеристиками, с высоким уровнем энергосбережения, с разделенной передней частью. Должна применяется в обычных бытовых условиях и при занятиях непрофессиональным спортом. Должна имеет улучшенную адаптацию под неровности поверхности опоры и обеспечивать эффективное снижение вертикальных усилий и крутящих нагрузок, что позволяет разгрузить культю. Должна имеет уменьшенную толщину адаптера в голеностопной части, что позволяет приблизить размеры косметического покрытия к физиологическим параметрам пациента. Размерный ряд должен быть от 22 до 30 см. </w:t>
            </w:r>
            <w:r w:rsidRPr="00D0390D">
              <w:rPr>
                <w:bCs/>
                <w:lang w:eastAsia="ar-SA"/>
              </w:rPr>
              <w:t xml:space="preserve">Вес c косметической оболочкой должен быть </w:t>
            </w:r>
            <w:r w:rsidRPr="00D0390D">
              <w:rPr>
                <w:rFonts w:eastAsia="SimSun"/>
                <w:bCs/>
                <w:kern w:val="1"/>
                <w:lang w:eastAsia="hi-IN"/>
              </w:rPr>
              <w:t>не более</w:t>
            </w:r>
            <w:r w:rsidRPr="00D0390D">
              <w:rPr>
                <w:bCs/>
                <w:lang w:eastAsia="ar-SA"/>
              </w:rPr>
              <w:t xml:space="preserve"> 690г. Строительная высота должна быть не более 150 мм</w:t>
            </w:r>
            <w:r w:rsidRPr="00D0390D">
              <w:rPr>
                <w:color w:val="000000"/>
              </w:rPr>
              <w:t>. Высота каблука должна быть не менее 5-15 мм.</w:t>
            </w:r>
            <w:r w:rsidRPr="00D0390D">
              <w:rPr>
                <w:lang w:eastAsia="ar-SA"/>
              </w:rPr>
              <w:t xml:space="preserve"> Коленный модуль должен быть одноосным с гидравлическим управлением фазы переноса, должен обеспечивать высокую </w:t>
            </w:r>
            <w:proofErr w:type="spellStart"/>
            <w:r w:rsidRPr="00D0390D">
              <w:rPr>
                <w:lang w:eastAsia="ar-SA"/>
              </w:rPr>
              <w:t>подкосоустойчивость</w:t>
            </w:r>
            <w:proofErr w:type="spellEnd"/>
            <w:r w:rsidRPr="00D0390D">
              <w:rPr>
                <w:lang w:eastAsia="ar-SA"/>
              </w:rPr>
              <w:t xml:space="preserve"> и иметь вес не более 360 г. и угол сгибания 155°, в проксимальной и дистальной части - соединение пирамидкой, или коленный модуль полицентрический с пневматическим управлением фазы переноса, раздельной регулировкой фаз сгибания и разгибания, должен поставляется в комплекте с несущим модулем, в проксимальной части соединение пирамидкой, а в дистальной части должен иметь зажимной хомут на трубку диаметром 30 мм, вес –760 г, угол сгибания - 170°, материал должен быть  – алюминий, или коленный модуль многоосный с механическим толкателем, должен обеспечивать безопасность в фазе опоры за счет многоосной кинематики и должен иметь в проксимальной части </w:t>
            </w:r>
            <w:proofErr w:type="spellStart"/>
            <w:r w:rsidRPr="00D0390D">
              <w:rPr>
                <w:lang w:eastAsia="ar-SA"/>
              </w:rPr>
              <w:t>юстировочную</w:t>
            </w:r>
            <w:proofErr w:type="spellEnd"/>
            <w:r w:rsidRPr="00D0390D">
              <w:rPr>
                <w:lang w:eastAsia="ar-SA"/>
              </w:rPr>
              <w:t xml:space="preserve"> пирамидку, а в дистальной части гильзовый РСУ, имеет угол сгибания </w:t>
            </w:r>
            <w:r w:rsidRPr="00D0390D">
              <w:rPr>
                <w:rFonts w:eastAsia="SimSun"/>
                <w:bCs/>
                <w:kern w:val="1"/>
                <w:lang w:eastAsia="hi-IN"/>
              </w:rPr>
              <w:t xml:space="preserve">не более </w:t>
            </w:r>
            <w:r w:rsidRPr="00D0390D">
              <w:rPr>
                <w:lang w:eastAsia="ar-SA"/>
              </w:rPr>
              <w:t>110°, вес не более 655г., материал должен быть титан или алюминий, с замком или без замка (по заключению медико-технической комиссии предприятия, назначению врача ортопеда,</w:t>
            </w:r>
            <w:r w:rsidRPr="00D0390D">
              <w:rPr>
                <w:color w:val="FF0000"/>
                <w:lang w:eastAsia="ar-SA"/>
              </w:rPr>
              <w:t xml:space="preserve"> </w:t>
            </w:r>
            <w:r w:rsidRPr="00D0390D">
              <w:rPr>
                <w:lang w:eastAsia="ar-SA"/>
              </w:rPr>
              <w:t xml:space="preserve">исходя из индивидуальных потребностей получателя). </w:t>
            </w:r>
          </w:p>
          <w:p w:rsidR="002142BF" w:rsidRPr="00D0390D" w:rsidRDefault="00A53129" w:rsidP="00A53129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lang w:eastAsia="ar-SA"/>
              </w:rPr>
              <w:t xml:space="preserve">В комплектацию протеза должно входит: протез – 1 шт.; чехлы шерстяные или хлопчатобумажные </w:t>
            </w:r>
            <w:r w:rsidRPr="00D0390D">
              <w:rPr>
                <w:rFonts w:eastAsia="Calibri"/>
                <w:color w:val="000000"/>
                <w:lang w:eastAsia="ar-SA"/>
              </w:rPr>
              <w:t>(в зависимости от индивидуальных особенностей получателя)</w:t>
            </w:r>
            <w:r w:rsidRPr="00D0390D">
              <w:rPr>
                <w:lang w:eastAsia="ar-SA"/>
              </w:rPr>
              <w:t xml:space="preserve"> – 4 шт.; косметическая оболочка на протез нижней конечности – 2 шт.</w:t>
            </w:r>
          </w:p>
        </w:tc>
        <w:tc>
          <w:tcPr>
            <w:tcW w:w="709" w:type="dxa"/>
          </w:tcPr>
          <w:p w:rsidR="002142BF" w:rsidRPr="00D0390D" w:rsidRDefault="00A53129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t>1</w:t>
            </w:r>
          </w:p>
        </w:tc>
      </w:tr>
      <w:tr w:rsidR="00A44C13" w:rsidRPr="00D0390D" w:rsidTr="00652DC1">
        <w:trPr>
          <w:jc w:val="center"/>
        </w:trPr>
        <w:tc>
          <w:tcPr>
            <w:tcW w:w="1555" w:type="dxa"/>
          </w:tcPr>
          <w:p w:rsidR="00A44C13" w:rsidRPr="00D0390D" w:rsidRDefault="0072166A" w:rsidP="00A44C13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SimSun"/>
                <w:b/>
                <w:kern w:val="1"/>
                <w:lang w:eastAsia="en-US"/>
              </w:rPr>
              <w:t>Протез бедра для купания</w:t>
            </w:r>
            <w:r w:rsidRPr="00D0390D">
              <w:rPr>
                <w:rFonts w:eastAsia="SimSun"/>
                <w:kern w:val="1"/>
                <w:lang w:eastAsia="en-US"/>
              </w:rPr>
              <w:t xml:space="preserve"> </w:t>
            </w:r>
            <w:r w:rsidRPr="00D0390D">
              <w:rPr>
                <w:rFonts w:eastAsia="SimSun"/>
                <w:kern w:val="1"/>
                <w:lang w:eastAsia="en-US"/>
              </w:rPr>
              <w:lastRenderedPageBreak/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A44C13" w:rsidRPr="00D0390D" w:rsidRDefault="0072166A" w:rsidP="00A44C13">
            <w:pPr>
              <w:widowControl w:val="0"/>
              <w:suppressAutoHyphens/>
              <w:snapToGrid w:val="0"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color w:val="000000"/>
              </w:rPr>
              <w:lastRenderedPageBreak/>
              <w:t xml:space="preserve">Протез бедра для купания: приемная гильза должна быть индивидуальная (две пробные гильзы – </w:t>
            </w:r>
            <w:proofErr w:type="spellStart"/>
            <w:r w:rsidRPr="00D0390D">
              <w:rPr>
                <w:color w:val="000000"/>
              </w:rPr>
              <w:t>термолин</w:t>
            </w:r>
            <w:proofErr w:type="spellEnd"/>
            <w:r w:rsidRPr="00D0390D">
              <w:rPr>
                <w:color w:val="000000"/>
              </w:rPr>
              <w:t xml:space="preserve">), изготовленная по слепку с культи пациента. Постоянная гильза должна быть из </w:t>
            </w:r>
            <w:r w:rsidRPr="00D0390D">
              <w:rPr>
                <w:color w:val="000000"/>
              </w:rPr>
              <w:lastRenderedPageBreak/>
              <w:t xml:space="preserve">литьевого слоистого пластика на основе </w:t>
            </w:r>
            <w:proofErr w:type="spellStart"/>
            <w:r w:rsidRPr="00D0390D">
              <w:rPr>
                <w:color w:val="000000"/>
              </w:rPr>
              <w:t>ортокриловых</w:t>
            </w:r>
            <w:proofErr w:type="spellEnd"/>
            <w:r w:rsidRPr="00D0390D">
              <w:rPr>
                <w:color w:val="000000"/>
              </w:rPr>
              <w:t xml:space="preserve"> смол с применением карбонового волокна. Вкладная гильза должна быть из эластичного </w:t>
            </w:r>
            <w:proofErr w:type="spellStart"/>
            <w:r w:rsidRPr="00D0390D">
              <w:rPr>
                <w:color w:val="000000"/>
              </w:rPr>
              <w:t>термолина</w:t>
            </w:r>
            <w:proofErr w:type="spellEnd"/>
            <w:r w:rsidRPr="00D0390D">
              <w:rPr>
                <w:color w:val="000000"/>
              </w:rPr>
              <w:t xml:space="preserve"> или силиконового чехла с дистальным соединением. Замок для силиконового чехла должен быть влагостойкий, поставляется в комплекте со штырем. Коленный модуль должен быть одноосный, моноцентрический с ротационной гидравликой, должен быть  изготовлен из алюминия, управление фазой опоры и переноса должно осуществляться с помощью гидравлической системы, пациент должен иметь возможность чередовать шаги при спуске по лестнице, спуске по наклонной поверхности, а также должен обеспечивать значительное приближение к формированию естественной картины походки при различной скорости ходьбы, в дистальной части зажимной хомут, в проксимальной части </w:t>
            </w:r>
            <w:proofErr w:type="spellStart"/>
            <w:r w:rsidRPr="00D0390D">
              <w:rPr>
                <w:color w:val="000000"/>
              </w:rPr>
              <w:t>юстировочная</w:t>
            </w:r>
            <w:proofErr w:type="spellEnd"/>
            <w:r w:rsidRPr="00D0390D">
              <w:rPr>
                <w:color w:val="000000"/>
              </w:rPr>
              <w:t xml:space="preserve"> пирамидка, угол сгибания  коленного шарнира не более 150°, вес не более 1225г. Несущие конструкции коленного шарнира должны быть выполнены из водоотталкивающих материалом. Несущий модуль с четырьмя </w:t>
            </w:r>
            <w:proofErr w:type="spellStart"/>
            <w:r w:rsidRPr="00D0390D">
              <w:rPr>
                <w:color w:val="000000"/>
              </w:rPr>
              <w:t>юстировочными</w:t>
            </w:r>
            <w:proofErr w:type="spellEnd"/>
            <w:r w:rsidRPr="00D0390D">
              <w:rPr>
                <w:color w:val="000000"/>
              </w:rPr>
              <w:t xml:space="preserve"> винтами, из титана. Стопа должна быть влагостойкая карбоновая с высокими амортизационными свойствами и улучшенными торсионными характеристиками, с высоким уровнем энергосбережения, с разделенной передней частью. Должна применяется в обычных бытовых условиях и при занятиях непрофессиональным спортом. Должна иметь улучшенную адаптацию под неровности поверхности опоры. Должа обеспечивать эффективное снижение вертикальных усилий и крутящих нагрузок, что позволяет разгрузить культю. Должна иметь возможность подбора жесткости пружины и жесткости функционального кольца, согласно весовой категории пациента. Вес должен быть без косметической оболочки не более 805г. Строительная высота не более 183 мм. Высота каблука не более 15 мм.</w:t>
            </w:r>
          </w:p>
        </w:tc>
        <w:tc>
          <w:tcPr>
            <w:tcW w:w="709" w:type="dxa"/>
          </w:tcPr>
          <w:p w:rsidR="00A44C13" w:rsidRPr="00D0390D" w:rsidRDefault="0072166A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lastRenderedPageBreak/>
              <w:t>1</w:t>
            </w:r>
          </w:p>
        </w:tc>
      </w:tr>
      <w:tr w:rsidR="00D67A8E" w:rsidRPr="00D0390D" w:rsidTr="00652DC1">
        <w:trPr>
          <w:jc w:val="center"/>
        </w:trPr>
        <w:tc>
          <w:tcPr>
            <w:tcW w:w="1555" w:type="dxa"/>
          </w:tcPr>
          <w:p w:rsidR="00D67A8E" w:rsidRPr="00D0390D" w:rsidRDefault="00F35207" w:rsidP="00B8125E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b/>
                <w:lang w:eastAsia="ar-SA"/>
              </w:rPr>
              <w:lastRenderedPageBreak/>
              <w:t xml:space="preserve">Протез голени модульный, в том числе при недоразвитии </w:t>
            </w:r>
            <w:r w:rsidRPr="00D0390D">
              <w:rPr>
                <w:bCs/>
                <w:lang w:eastAsia="ar-SA"/>
              </w:rPr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D67A8E" w:rsidRPr="00D0390D" w:rsidRDefault="00F35207" w:rsidP="00B8125E">
            <w:pPr>
              <w:widowControl w:val="0"/>
              <w:suppressAutoHyphens/>
              <w:snapToGrid w:val="0"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lang w:eastAsia="ar-SA"/>
              </w:rPr>
              <w:t xml:space="preserve">Протез голени модульный, в том числе при недоразвитии с силиконовым чехлом, должен состоять из: формообразующей части косметической облицовки модульная из вспененного </w:t>
            </w:r>
            <w:proofErr w:type="spellStart"/>
            <w:r w:rsidRPr="00D0390D">
              <w:rPr>
                <w:lang w:eastAsia="ar-SA"/>
              </w:rPr>
              <w:t>пенополиуретана</w:t>
            </w:r>
            <w:proofErr w:type="spellEnd"/>
            <w:r w:rsidRPr="00D0390D">
              <w:rPr>
                <w:lang w:eastAsia="ar-SA"/>
              </w:rPr>
              <w:t xml:space="preserve">; косметического покрытия облицовки </w:t>
            </w:r>
            <w:proofErr w:type="spellStart"/>
            <w:r w:rsidRPr="00D0390D">
              <w:rPr>
                <w:lang w:eastAsia="ar-SA"/>
              </w:rPr>
              <w:t>перлоновые</w:t>
            </w:r>
            <w:proofErr w:type="spellEnd"/>
            <w:r w:rsidRPr="00D0390D">
              <w:rPr>
                <w:lang w:eastAsia="ar-SA"/>
              </w:rPr>
              <w:t xml:space="preserve"> чулки; приёмная гильза индивидуальная (две пробные гильзы - </w:t>
            </w:r>
            <w:proofErr w:type="spellStart"/>
            <w:r w:rsidRPr="00D0390D">
              <w:rPr>
                <w:lang w:eastAsia="ar-SA"/>
              </w:rPr>
              <w:t>термолин</w:t>
            </w:r>
            <w:proofErr w:type="spellEnd"/>
            <w:r w:rsidRPr="00D0390D">
              <w:rPr>
                <w:lang w:eastAsia="ar-SA"/>
              </w:rPr>
              <w:t xml:space="preserve">), должна быть изготовленная по слепку с культи пациента. Материал индивидуальной постоянной гильзы должен быть литьевой слоистый пластик на основе </w:t>
            </w:r>
            <w:proofErr w:type="spellStart"/>
            <w:r w:rsidRPr="00D0390D">
              <w:rPr>
                <w:lang w:eastAsia="ar-SA"/>
              </w:rPr>
              <w:t>ортокриловых</w:t>
            </w:r>
            <w:proofErr w:type="spellEnd"/>
            <w:r w:rsidRPr="00D0390D">
              <w:rPr>
                <w:lang w:eastAsia="ar-SA"/>
              </w:rPr>
              <w:t xml:space="preserve"> смол или листовой термопластичный пластик, или дерево (в зависимости от индивидуальных особенностей получателя), в качестве вкладного элемента должны применятся чехлы силиконовые или гелиевые, или полиуретановые, крепление чехла к протезу должна осуществляться с использованием замкового устройства для полимерных чехлов, за счет мембраны силиконового чехла, или системы </w:t>
            </w:r>
            <w:r w:rsidRPr="00D0390D">
              <w:rPr>
                <w:lang w:val="en-US" w:eastAsia="ar-SA"/>
              </w:rPr>
              <w:t>DVS</w:t>
            </w:r>
            <w:r w:rsidRPr="00D0390D">
              <w:rPr>
                <w:lang w:eastAsia="ar-SA"/>
              </w:rPr>
              <w:t xml:space="preserve">, при необходимости с использованием силиконового наколенника и активизируемым вакуумным клапаном (в зависимости от индивидуальных особенностей получателя). Регулировочно-соединительные устройства должны быть рассчитаны под вес пациента, </w:t>
            </w:r>
            <w:r w:rsidRPr="00D0390D">
              <w:rPr>
                <w:color w:val="000000"/>
              </w:rPr>
              <w:t xml:space="preserve">стопа должна быть карбоновая с высокими амортизационными свойствами и улучшенными торсионными характеристиками, с высоким уровнем энергосбережения, с разделенной передней частью. Должны применяется в обычных бытовых условиях и при занятиях непрофессиональным спортом. Должна иметь улучшенную адаптацию под неровности поверхности опоры. Размерный ряд должен быть от 21 до 30 см. Высота каблука должна быть от 5 до 15 мм, </w:t>
            </w:r>
            <w:r w:rsidRPr="00D0390D">
              <w:rPr>
                <w:bCs/>
                <w:lang w:eastAsia="ar-SA"/>
              </w:rPr>
              <w:t>или с</w:t>
            </w:r>
            <w:r w:rsidRPr="00D0390D">
              <w:rPr>
                <w:lang w:eastAsia="ar-SA"/>
              </w:rPr>
              <w:t xml:space="preserve">топа имеет пружинный элемент из карбона и управляющее кольцо, благодаря которому компенсируются неровности поверхности опоры при ходьбе и обеспечивается упругое </w:t>
            </w:r>
            <w:proofErr w:type="spellStart"/>
            <w:r w:rsidRPr="00D0390D">
              <w:rPr>
                <w:lang w:eastAsia="ar-SA"/>
              </w:rPr>
              <w:t>наступание</w:t>
            </w:r>
            <w:proofErr w:type="spellEnd"/>
            <w:r w:rsidRPr="00D0390D">
              <w:rPr>
                <w:lang w:eastAsia="ar-SA"/>
              </w:rPr>
              <w:t xml:space="preserve"> на пятку. Стопа должна позволять сохранять активность, начиная от медленной ходьбы и до занятия любительским спортом. </w:t>
            </w:r>
            <w:r w:rsidRPr="00D0390D">
              <w:rPr>
                <w:color w:val="000000"/>
              </w:rPr>
              <w:t>Высота каблука должна быть от 5 до 15 мм</w:t>
            </w:r>
            <w:r w:rsidRPr="00D0390D">
              <w:rPr>
                <w:lang w:eastAsia="ar-SA"/>
              </w:rPr>
              <w:t xml:space="preserve"> или стопа, спроектирована с отдельным большим пальцем, использоваться в комплекте с узкой, соответствующей анатомии косметической оболочкой с «отдельным большим пальцем». Также она должна дать возможность пользователю опираться на протез и на здоровую конечность равное количество времени и с одинаковым усилием. Преимущество: стабильность и защищенность в фазе опоры. Полная длина стопы должна соответствовать длине здоровой стопы за счет чего обеспечивается более плавная и естественная ходьба.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значений. Регулируемая высота каблука должна быть до 50 мм. Или стопа с системой крепления </w:t>
            </w:r>
            <w:proofErr w:type="spellStart"/>
            <w:r w:rsidRPr="00D0390D">
              <w:rPr>
                <w:lang w:eastAsia="ar-SA"/>
              </w:rPr>
              <w:t>Хармони</w:t>
            </w:r>
            <w:proofErr w:type="spellEnd"/>
            <w:r w:rsidRPr="00D0390D">
              <w:rPr>
                <w:lang w:eastAsia="ar-SA"/>
              </w:rPr>
              <w:t xml:space="preserve"> с насосом для соединения со стопой </w:t>
            </w:r>
            <w:proofErr w:type="spellStart"/>
            <w:r w:rsidRPr="00D0390D">
              <w:rPr>
                <w:lang w:eastAsia="ar-SA"/>
              </w:rPr>
              <w:t>Хармони</w:t>
            </w:r>
            <w:proofErr w:type="spellEnd"/>
            <w:r w:rsidRPr="00D0390D">
              <w:rPr>
                <w:lang w:eastAsia="ar-SA"/>
              </w:rPr>
              <w:t xml:space="preserve">, должна иметь в составе: функциональное кольцо, трубку для соединения с гильзой и глушитель, должна улучшать адгезию между культей и протезом, должна обеспечивать улучшение </w:t>
            </w:r>
            <w:proofErr w:type="spellStart"/>
            <w:r w:rsidRPr="00D0390D">
              <w:rPr>
                <w:lang w:eastAsia="ar-SA"/>
              </w:rPr>
              <w:t>проприоцетивной</w:t>
            </w:r>
            <w:proofErr w:type="spellEnd"/>
            <w:r w:rsidRPr="00D0390D">
              <w:rPr>
                <w:lang w:eastAsia="ar-SA"/>
              </w:rPr>
              <w:t xml:space="preserve"> чувствительности, стабилизировать объем культи и стимулировать кровообращение. Вес не более 399 г. Системная высота должна быть не более 95 мм. </w:t>
            </w:r>
            <w:r w:rsidRPr="00D0390D">
              <w:t>В комплектацию протеза должен входить:</w:t>
            </w:r>
            <w:r w:rsidRPr="00D0390D">
              <w:rPr>
                <w:lang w:eastAsia="ar-SA"/>
              </w:rPr>
              <w:t xml:space="preserve"> протез – 1 шт., чехлы шерстяные на культю и (или) чехлы хлопчатобумажные на культю – 4 шт. (</w:t>
            </w:r>
            <w:r w:rsidRPr="00D0390D">
              <w:rPr>
                <w:rFonts w:eastAsia="Calibri"/>
                <w:color w:val="000000"/>
                <w:lang w:eastAsia="ar-SA"/>
              </w:rPr>
              <w:t>в зависимости от индивидуальных особенностей получателя</w:t>
            </w:r>
            <w:r w:rsidRPr="00D0390D">
              <w:rPr>
                <w:lang w:eastAsia="ar-SA"/>
              </w:rPr>
              <w:t>), косметическая оболочка на протез нижней конечности – 1 шт.</w:t>
            </w:r>
          </w:p>
        </w:tc>
        <w:tc>
          <w:tcPr>
            <w:tcW w:w="709" w:type="dxa"/>
          </w:tcPr>
          <w:p w:rsidR="00D67A8E" w:rsidRPr="00D0390D" w:rsidRDefault="00F35207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t>2</w:t>
            </w:r>
          </w:p>
        </w:tc>
      </w:tr>
      <w:tr w:rsidR="00A53129" w:rsidRPr="00D0390D" w:rsidTr="00652DC1">
        <w:trPr>
          <w:jc w:val="center"/>
        </w:trPr>
        <w:tc>
          <w:tcPr>
            <w:tcW w:w="1555" w:type="dxa"/>
          </w:tcPr>
          <w:p w:rsidR="00A53129" w:rsidRPr="00D0390D" w:rsidRDefault="00F35207" w:rsidP="00B8125E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Calibri"/>
                <w:b/>
              </w:rPr>
              <w:t xml:space="preserve">Протез голени модульный, в том числе при недоразвитии </w:t>
            </w:r>
            <w:r w:rsidRPr="00D0390D">
              <w:rPr>
                <w:rFonts w:eastAsia="Calibri"/>
                <w:bCs/>
              </w:rPr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F35207" w:rsidRPr="00D0390D" w:rsidRDefault="00F35207" w:rsidP="00F35207">
            <w:pPr>
              <w:jc w:val="both"/>
              <w:rPr>
                <w:rFonts w:eastAsia="Calibri"/>
              </w:rPr>
            </w:pPr>
            <w:r w:rsidRPr="00D0390D">
              <w:rPr>
                <w:rFonts w:eastAsia="Calibri"/>
              </w:rPr>
              <w:t>Протез голени модульный, в том числе при недоразвитии</w:t>
            </w:r>
            <w:r w:rsidRPr="00D0390D">
              <w:rPr>
                <w:rFonts w:eastAsia="Calibri"/>
                <w:bCs/>
              </w:rPr>
              <w:t xml:space="preserve"> </w:t>
            </w:r>
            <w:r w:rsidRPr="00D0390D">
              <w:rPr>
                <w:rFonts w:eastAsia="Calibri"/>
              </w:rPr>
              <w:t xml:space="preserve">с силиконовым чехлом, должен состоять из: формообразующая часть косметической облицовки – модульная мягкая полиуретановая. Косметическое покрытие облицовки чулки ортопедические </w:t>
            </w:r>
            <w:proofErr w:type="spellStart"/>
            <w:r w:rsidRPr="00D0390D">
              <w:rPr>
                <w:rFonts w:eastAsia="Calibri"/>
              </w:rPr>
              <w:t>перлоновые</w:t>
            </w:r>
            <w:proofErr w:type="spellEnd"/>
            <w:r w:rsidRPr="00D0390D">
              <w:rPr>
                <w:rFonts w:eastAsia="Calibri"/>
              </w:rPr>
              <w:t xml:space="preserve">. Приёмная гильза индивидуальная (две пробных гильзы - </w:t>
            </w:r>
            <w:proofErr w:type="spellStart"/>
            <w:r w:rsidRPr="00D0390D">
              <w:rPr>
                <w:rFonts w:eastAsia="Calibri"/>
              </w:rPr>
              <w:t>термолин</w:t>
            </w:r>
            <w:proofErr w:type="spellEnd"/>
            <w:r w:rsidRPr="00D0390D">
              <w:rPr>
                <w:rFonts w:eastAsia="Calibri"/>
              </w:rPr>
              <w:t xml:space="preserve">). Материал индивидуальной постоянной гильзы литьевой слоистый пластик на основе акриловых смол. Крепление протеза замковое устройство для </w:t>
            </w:r>
            <w:proofErr w:type="spellStart"/>
            <w:r w:rsidRPr="00D0390D">
              <w:rPr>
                <w:rFonts w:eastAsia="Calibri"/>
              </w:rPr>
              <w:t>техногель</w:t>
            </w:r>
            <w:proofErr w:type="spellEnd"/>
            <w:r w:rsidRPr="00D0390D">
              <w:rPr>
                <w:rFonts w:eastAsia="Calibri"/>
              </w:rPr>
              <w:t xml:space="preserve"> лайнера с возможностью использования поддерживающей манжеты на бедро из кожаных полуфабрикатов. РСУ передвижной поворотный, должен обеспечивать возможность сдвига между гильзой протеза и несущим модулем. Должен быть изготовлен из титана. Соединение в дистальной части – хомут под трубку должен быть не более </w:t>
            </w:r>
            <w:r w:rsidRPr="00D0390D">
              <w:rPr>
                <w:rFonts w:eastAsia="Calibri"/>
              </w:rPr>
              <w:lastRenderedPageBreak/>
              <w:t xml:space="preserve">34мм, в проксимальной части – </w:t>
            </w:r>
            <w:proofErr w:type="spellStart"/>
            <w:r w:rsidRPr="00D0390D">
              <w:rPr>
                <w:rFonts w:eastAsia="Calibri"/>
              </w:rPr>
              <w:t>юстировочные</w:t>
            </w:r>
            <w:proofErr w:type="spellEnd"/>
            <w:r w:rsidRPr="00D0390D">
              <w:rPr>
                <w:rFonts w:eastAsia="Calibri"/>
              </w:rPr>
              <w:t xml:space="preserve"> винты. Системная высота – не более 51мм. Вес – не более 185г. Смещение не более 11 мм. Винтовой РСУ должен быть изготовлен из титана. Соединение в дистальной части хомут под трубку должен быть не более 34 мм, в проксимальной части – </w:t>
            </w:r>
            <w:proofErr w:type="spellStart"/>
            <w:r w:rsidRPr="00D0390D">
              <w:rPr>
                <w:rFonts w:eastAsia="Calibri"/>
              </w:rPr>
              <w:t>юстировочные</w:t>
            </w:r>
            <w:proofErr w:type="spellEnd"/>
            <w:r w:rsidRPr="00D0390D">
              <w:rPr>
                <w:rFonts w:eastAsia="Calibri"/>
              </w:rPr>
              <w:t xml:space="preserve"> винты. Системная высота – не более 33 мм. Вес – не более 95г. Несущий модуль должен быть изготовлен из титана. Соединение в дистальной части – трубка не более 34 мм, в проксимальной части – </w:t>
            </w:r>
            <w:proofErr w:type="spellStart"/>
            <w:r w:rsidRPr="00D0390D">
              <w:rPr>
                <w:rFonts w:eastAsia="Calibri"/>
              </w:rPr>
              <w:t>юстировочные</w:t>
            </w:r>
            <w:proofErr w:type="spellEnd"/>
            <w:r w:rsidRPr="00D0390D">
              <w:rPr>
                <w:rFonts w:eastAsia="Calibri"/>
              </w:rPr>
              <w:t xml:space="preserve"> винты. Максимальная системная высота должна быть не более 282 мм. Минимальная системная высота должна быть не более 77 мм. Вес не более 220г. Шина на колено с шарниром должна быть изготовлена из нержавеющей стали и поставляется парами, в левом и правом исполнении. </w:t>
            </w:r>
          </w:p>
          <w:p w:rsidR="00F35207" w:rsidRPr="00D0390D" w:rsidRDefault="00F35207" w:rsidP="00F35207">
            <w:pPr>
              <w:jc w:val="both"/>
              <w:rPr>
                <w:rFonts w:eastAsia="Calibri"/>
              </w:rPr>
            </w:pPr>
            <w:r w:rsidRPr="00D0390D">
              <w:rPr>
                <w:rFonts w:eastAsia="Calibri"/>
              </w:rPr>
              <w:t xml:space="preserve">Стопа должна быть легкая карбоновая треугольной формы, со сдвоенным пружинным элементом, должна обеспечивать физиологический перекат и отличную отдачу накопленной энергии. Должна подходить для ходьбы по пересеченной местности без ухудшения комфортности, должна снижать нагрузку на здоровую конечность и подходит для различной скорости ходьбы, стопа должна иметь четыре уровня жесткости, в зависимости от веса пациента/ энергосберегающая, для пациентов 2-3 уровня активности (по заключению медико-технической комиссии предприятия, назначению врача ортопеда, исходя из индивидуальных потребностей получателя). Должна состоять из пластиковой пружины и функциональной косметической оболочки. Высота каблука должна быть не более 15 мм. Силикон гель лайнер с дистальным соединением, толщина стенки 6 мм, должна быть одинаковая по всей поверхности лайнера. Внешнее покрытие должно быть текстильное высокой прочности. Должна имеет чрезвычайно гладкое и износостойкое внешнее текстильное покрытие и мягкую дистальную чашу, должна иметь матрицу для снижения вращения в дистальной части. Замок для лайнера с бесступенчатой фиксацией и функцией </w:t>
            </w:r>
            <w:proofErr w:type="spellStart"/>
            <w:r w:rsidRPr="00D0390D">
              <w:rPr>
                <w:rFonts w:eastAsia="Calibri"/>
              </w:rPr>
              <w:t>дотягивания</w:t>
            </w:r>
            <w:proofErr w:type="spellEnd"/>
            <w:r w:rsidRPr="00D0390D">
              <w:rPr>
                <w:rFonts w:eastAsia="Calibri"/>
              </w:rPr>
              <w:t xml:space="preserve">, соединение в дистальной части – пирамидка. Должен поставляться в комплекте со штырем, с фиксатором. Нейлоновый чехол на культю для лайнеров должен быть с дистальным креплением белый, с вулканизированным дистальным кольцом. Состав: полиамид 90%, лайкра 10%. При ампутации на уровне голени длина составляет не более 40 см. Махровый чехол на культю для лайнеров с дистальным креплением белый, с вулканизированным дистальным кольцом. Состав должен состоять из: хлопка 85%, лайкра 15%. При ампутации на уровне голени длина составляет не более 40 см. </w:t>
            </w:r>
          </w:p>
          <w:p w:rsidR="00A53129" w:rsidRPr="00D0390D" w:rsidRDefault="00F35207" w:rsidP="00F35207">
            <w:pPr>
              <w:widowControl w:val="0"/>
              <w:suppressAutoHyphens/>
              <w:snapToGrid w:val="0"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Calibri"/>
              </w:rPr>
              <w:t>В комплектацию протеза должен входит протез – 1 шт.; чехлы махровые на культю – 2 шт.; чехлы нейлоновые на культю – 2 шт., чехлы из полимерного материала на протез – 2 шт.</w:t>
            </w:r>
          </w:p>
        </w:tc>
        <w:tc>
          <w:tcPr>
            <w:tcW w:w="709" w:type="dxa"/>
          </w:tcPr>
          <w:p w:rsidR="00A53129" w:rsidRPr="00D0390D" w:rsidRDefault="00F35207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lastRenderedPageBreak/>
              <w:t>2</w:t>
            </w:r>
          </w:p>
        </w:tc>
      </w:tr>
      <w:tr w:rsidR="00A53129" w:rsidRPr="00D0390D" w:rsidTr="00652DC1">
        <w:trPr>
          <w:jc w:val="center"/>
        </w:trPr>
        <w:tc>
          <w:tcPr>
            <w:tcW w:w="1555" w:type="dxa"/>
          </w:tcPr>
          <w:p w:rsidR="00F35207" w:rsidRPr="00D0390D" w:rsidRDefault="00F35207" w:rsidP="00F35207">
            <w:pPr>
              <w:jc w:val="both"/>
              <w:rPr>
                <w:rFonts w:eastAsia="Calibri"/>
                <w:b/>
              </w:rPr>
            </w:pPr>
            <w:r w:rsidRPr="00D0390D">
              <w:rPr>
                <w:rFonts w:eastAsia="Calibri"/>
                <w:b/>
              </w:rPr>
              <w:lastRenderedPageBreak/>
              <w:t>Протез голени для купания.</w:t>
            </w:r>
          </w:p>
          <w:p w:rsidR="00A53129" w:rsidRPr="00D0390D" w:rsidRDefault="00F35207" w:rsidP="00F352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Calibri"/>
                <w:bCs/>
              </w:rPr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A53129" w:rsidRPr="00D0390D" w:rsidRDefault="00F35207" w:rsidP="00B8125E">
            <w:pPr>
              <w:widowControl w:val="0"/>
              <w:suppressAutoHyphens/>
              <w:snapToGrid w:val="0"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Calibri"/>
              </w:rPr>
              <w:t xml:space="preserve">Протез голени для купания. Гильза должна быть изготовлена по индивидуальному слепку с культи инвалида. Постоянная приемная гильза должна быть из литьевого слоистого пластика на основе акриловых смол. Пробная гильза должна быть из листового термопласта. Приемная гильза должна охватывать мыщелки бедра и может быть (в зависимости от индивидуальных особенностей получателя) оснащена смягчающим вкладышем из вспененного материала, без облицовки. Протез должен быть водонепроницаем и предназначен для пациента, передвигающегося по воде. Стопа должна быть водостойкая. Подошва стопы должна иметь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D0390D">
              <w:rPr>
                <w:rFonts w:eastAsia="Calibri"/>
              </w:rPr>
              <w:t>сцепляемостью</w:t>
            </w:r>
            <w:proofErr w:type="spellEnd"/>
            <w:r w:rsidRPr="00D0390D">
              <w:rPr>
                <w:rFonts w:eastAsia="Calibri"/>
              </w:rPr>
              <w:t xml:space="preserve"> с опорной поверхностью. Поверхность соединения в проксимальной части должна иметь защиту от попадания воды за счет нанесенного покрытия из герметизирующей смолы. Все модули, применяемые при изготовлении протеза должны быть водостойкие. Боковые отверстия в гильзе протеза должны уменьшать плавучесть корпуса протеза в воде. Крепление протеза наколенник. 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709" w:type="dxa"/>
          </w:tcPr>
          <w:p w:rsidR="00A53129" w:rsidRPr="00D0390D" w:rsidRDefault="00F35207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t>2</w:t>
            </w:r>
          </w:p>
        </w:tc>
      </w:tr>
      <w:tr w:rsidR="00A53129" w:rsidRPr="00D0390D" w:rsidTr="00652DC1">
        <w:trPr>
          <w:jc w:val="center"/>
        </w:trPr>
        <w:tc>
          <w:tcPr>
            <w:tcW w:w="1555" w:type="dxa"/>
          </w:tcPr>
          <w:p w:rsidR="00F35207" w:rsidRPr="00D0390D" w:rsidRDefault="00F35207" w:rsidP="00F35207">
            <w:pPr>
              <w:suppressAutoHyphens/>
              <w:rPr>
                <w:rFonts w:eastAsia="SimSun"/>
                <w:b/>
                <w:kern w:val="1"/>
                <w:lang w:eastAsia="en-US"/>
              </w:rPr>
            </w:pPr>
            <w:r w:rsidRPr="00D0390D">
              <w:rPr>
                <w:rFonts w:eastAsia="SimSun"/>
                <w:b/>
                <w:kern w:val="1"/>
                <w:lang w:eastAsia="en-US"/>
              </w:rPr>
              <w:t>Протез голени для купания.</w:t>
            </w:r>
          </w:p>
          <w:p w:rsidR="00A53129" w:rsidRPr="00D0390D" w:rsidRDefault="00F35207" w:rsidP="00F35207">
            <w:pPr>
              <w:widowControl w:val="0"/>
              <w:suppressAutoHyphens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SimSun"/>
                <w:bCs/>
                <w:kern w:val="1"/>
                <w:lang w:eastAsia="hi-IN"/>
              </w:rPr>
              <w:t>(наименование по Приказу № 86 н от 13.02.2018г.)</w:t>
            </w:r>
          </w:p>
        </w:tc>
        <w:tc>
          <w:tcPr>
            <w:tcW w:w="8363" w:type="dxa"/>
          </w:tcPr>
          <w:p w:rsidR="00F35207" w:rsidRPr="00D0390D" w:rsidRDefault="00F35207" w:rsidP="00F35207">
            <w:pPr>
              <w:suppressAutoHyphens/>
              <w:jc w:val="both"/>
              <w:rPr>
                <w:rFonts w:eastAsia="SimSun"/>
                <w:kern w:val="1"/>
                <w:lang w:eastAsia="hi-IN"/>
              </w:rPr>
            </w:pPr>
            <w:r w:rsidRPr="00D0390D">
              <w:rPr>
                <w:rFonts w:eastAsia="SimSun"/>
                <w:kern w:val="1"/>
                <w:lang w:eastAsia="hi-IN"/>
              </w:rPr>
              <w:t xml:space="preserve">Протез голени для купания должен состоять из: </w:t>
            </w:r>
          </w:p>
          <w:p w:rsidR="00F35207" w:rsidRPr="00D0390D" w:rsidRDefault="00F35207" w:rsidP="00F35207">
            <w:pPr>
              <w:suppressAutoHyphens/>
              <w:jc w:val="both"/>
              <w:rPr>
                <w:rFonts w:eastAsia="SimSun"/>
                <w:kern w:val="1"/>
                <w:lang w:eastAsia="hi-IN"/>
              </w:rPr>
            </w:pPr>
            <w:r w:rsidRPr="00D0390D">
              <w:rPr>
                <w:rFonts w:eastAsia="SimSun"/>
                <w:kern w:val="1"/>
                <w:lang w:eastAsia="hi-IN"/>
              </w:rPr>
              <w:t xml:space="preserve">гильзы индивидуального изготовления по индивидуальному слепку с культи инвалида. Постоянной гильзы из литьевого слоистого пластика должен быть на основе акриловых смол; вкладной гильзы – </w:t>
            </w:r>
            <w:proofErr w:type="spellStart"/>
            <w:r w:rsidRPr="00D0390D">
              <w:rPr>
                <w:rFonts w:eastAsia="SimSun"/>
                <w:kern w:val="1"/>
                <w:lang w:eastAsia="hi-IN"/>
              </w:rPr>
              <w:t>педилен</w:t>
            </w:r>
            <w:proofErr w:type="spellEnd"/>
            <w:r w:rsidRPr="00D0390D">
              <w:rPr>
                <w:rFonts w:eastAsia="SimSun"/>
                <w:kern w:val="1"/>
                <w:lang w:eastAsia="hi-IN"/>
              </w:rPr>
              <w:t xml:space="preserve"> или силиконовый (полимерный) чехол с дистальным соединением или без него. Замок для чехла должен быть влагостойкий, со встроенным механизмом фиксации, который обеспечивает легкую разблокировку даже при натяжении. Без ограничений по весу и интегрируется в гильзу. Должен поставляется в комплекте со штырем. Гильзовый регулировочно-соединительный узел с вращающейся </w:t>
            </w:r>
            <w:proofErr w:type="spellStart"/>
            <w:r w:rsidRPr="00D0390D">
              <w:rPr>
                <w:rFonts w:eastAsia="SimSun"/>
                <w:kern w:val="1"/>
                <w:lang w:eastAsia="hi-IN"/>
              </w:rPr>
              <w:t>юстировочной</w:t>
            </w:r>
            <w:proofErr w:type="spellEnd"/>
            <w:r w:rsidRPr="00D0390D">
              <w:rPr>
                <w:rFonts w:eastAsia="SimSun"/>
                <w:kern w:val="1"/>
                <w:lang w:eastAsia="hi-IN"/>
              </w:rPr>
              <w:t xml:space="preserve"> пирамидкой, должен быть изготовлен из нержавеющей высококачественной стали. Винтовой регулировочно-соединительный узел с четырьмя </w:t>
            </w:r>
            <w:proofErr w:type="spellStart"/>
            <w:r w:rsidRPr="00D0390D">
              <w:rPr>
                <w:rFonts w:eastAsia="SimSun"/>
                <w:kern w:val="1"/>
                <w:lang w:eastAsia="hi-IN"/>
              </w:rPr>
              <w:t>юстировочными</w:t>
            </w:r>
            <w:proofErr w:type="spellEnd"/>
            <w:r w:rsidRPr="00D0390D">
              <w:rPr>
                <w:rFonts w:eastAsia="SimSun"/>
                <w:kern w:val="1"/>
                <w:lang w:eastAsia="hi-IN"/>
              </w:rPr>
              <w:t xml:space="preserve"> винтами. Изготовление должно быть из титана. </w:t>
            </w:r>
          </w:p>
          <w:p w:rsidR="00A53129" w:rsidRPr="00D0390D" w:rsidRDefault="00F35207" w:rsidP="00F35207">
            <w:pPr>
              <w:widowControl w:val="0"/>
              <w:suppressAutoHyphens/>
              <w:snapToGrid w:val="0"/>
              <w:jc w:val="both"/>
              <w:rPr>
                <w:rFonts w:eastAsia="SimSun"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D0390D">
              <w:rPr>
                <w:rFonts w:eastAsia="SimSun"/>
                <w:kern w:val="1"/>
                <w:lang w:eastAsia="hi-IN"/>
              </w:rPr>
              <w:t xml:space="preserve">Несущий модуль должен быть с четырьмя </w:t>
            </w:r>
            <w:proofErr w:type="spellStart"/>
            <w:r w:rsidRPr="00D0390D">
              <w:rPr>
                <w:rFonts w:eastAsia="SimSun"/>
                <w:kern w:val="1"/>
                <w:lang w:eastAsia="hi-IN"/>
              </w:rPr>
              <w:t>юстировочными</w:t>
            </w:r>
            <w:proofErr w:type="spellEnd"/>
            <w:r w:rsidRPr="00D0390D">
              <w:rPr>
                <w:rFonts w:eastAsia="SimSun"/>
                <w:kern w:val="1"/>
                <w:lang w:eastAsia="hi-IN"/>
              </w:rPr>
              <w:t xml:space="preserve"> винтами, должен быть изготовлен из титана. Стопа должна быть карбоновая с высокими амортизационными свойствами и улучшенными торсионными характеристиками, с высоким уровнем энергосбережения, с разделенной передней частью. Должна применяется в обычных бытовых условиях и при занятиях непрофессиональным спортом. Должна иметь улучшенную адаптацию под неровности поверхности опоры. Должна обеспечивать эффективное снижение вертикальных усилий и крутящих нагрузок, что позволит разгрузить культю. Должна иметь возможность подбора жесткости согласно весовой категории пациента. В комплектацию протеза должно входить: протез – 1 шт.</w:t>
            </w:r>
          </w:p>
        </w:tc>
        <w:tc>
          <w:tcPr>
            <w:tcW w:w="709" w:type="dxa"/>
          </w:tcPr>
          <w:p w:rsidR="00A53129" w:rsidRPr="00D0390D" w:rsidRDefault="00F35207" w:rsidP="002142BF">
            <w:pPr>
              <w:widowControl w:val="0"/>
              <w:suppressAutoHyphens/>
              <w:jc w:val="center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kern w:val="1"/>
                <w:lang w:eastAsia="ar-SA"/>
              </w:rPr>
              <w:t>4</w:t>
            </w:r>
          </w:p>
        </w:tc>
      </w:tr>
      <w:tr w:rsidR="002142BF" w:rsidRPr="00D0390D" w:rsidTr="00652DC1">
        <w:trPr>
          <w:jc w:val="center"/>
        </w:trPr>
        <w:tc>
          <w:tcPr>
            <w:tcW w:w="9918" w:type="dxa"/>
            <w:gridSpan w:val="2"/>
          </w:tcPr>
          <w:p w:rsidR="002142BF" w:rsidRPr="00D0390D" w:rsidRDefault="002142BF" w:rsidP="002142BF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lang w:eastAsia="ar-SA"/>
              </w:rPr>
            </w:pPr>
            <w:r w:rsidRPr="00D0390D">
              <w:rPr>
                <w:rFonts w:eastAsia="Lucida Sans Unicode" w:cs="Calibri"/>
                <w:b/>
                <w:kern w:val="1"/>
                <w:lang w:eastAsia="ar-SA"/>
              </w:rPr>
              <w:t>Итого:</w:t>
            </w:r>
          </w:p>
        </w:tc>
        <w:tc>
          <w:tcPr>
            <w:tcW w:w="709" w:type="dxa"/>
          </w:tcPr>
          <w:p w:rsidR="002142BF" w:rsidRPr="00D0390D" w:rsidRDefault="008E665B" w:rsidP="002142BF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lang w:eastAsia="ar-SA"/>
              </w:rPr>
            </w:pPr>
            <w:r>
              <w:rPr>
                <w:rFonts w:eastAsia="Lucida Sans Unicode" w:cs="Calibri"/>
                <w:b/>
                <w:kern w:val="1"/>
                <w:lang w:eastAsia="ar-SA"/>
              </w:rPr>
              <w:t>12</w:t>
            </w:r>
          </w:p>
        </w:tc>
      </w:tr>
    </w:tbl>
    <w:p w:rsidR="002142BF" w:rsidRPr="00441812" w:rsidRDefault="002142BF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3727EB">
        <w:rPr>
          <w:rFonts w:ascii="Times New Roman" w:eastAsia="Arial Unicode MS" w:hAnsi="Times New Roman" w:cs="Times New Roman"/>
        </w:rPr>
        <w:lastRenderedPageBreak/>
        <w:t>Требования к безопасности товара</w:t>
      </w:r>
      <w:bookmarkStart w:id="0" w:name="_GoBack"/>
      <w:bookmarkEnd w:id="0"/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 xml:space="preserve">Протезы нижних конечностей соответствуют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3727EB">
        <w:rPr>
          <w:rFonts w:ascii="Times New Roman" w:hAnsi="Times New Roman" w:cs="Times New Roman"/>
        </w:rPr>
        <w:t>ортезы</w:t>
      </w:r>
      <w:proofErr w:type="spellEnd"/>
      <w:r w:rsidRPr="003727EB">
        <w:rPr>
          <w:rFonts w:ascii="Times New Roman" w:hAnsi="Times New Roman" w:cs="Times New Roman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727EB">
        <w:rPr>
          <w:rFonts w:ascii="Times New Roman" w:hAnsi="Times New Roman" w:cs="Times New Roman"/>
        </w:rPr>
        <w:t>цитотоксичность</w:t>
      </w:r>
      <w:proofErr w:type="spellEnd"/>
      <w:r w:rsidRPr="003727EB">
        <w:rPr>
          <w:rFonts w:ascii="Times New Roman" w:hAnsi="Times New Roman" w:cs="Times New Roman"/>
        </w:rPr>
        <w:t xml:space="preserve">: методы </w:t>
      </w:r>
      <w:proofErr w:type="spellStart"/>
      <w:r w:rsidRPr="003727EB">
        <w:rPr>
          <w:rFonts w:ascii="Times New Roman" w:hAnsi="Times New Roman" w:cs="Times New Roman"/>
        </w:rPr>
        <w:t>in</w:t>
      </w:r>
      <w:proofErr w:type="spellEnd"/>
      <w:r w:rsidRPr="003727EB">
        <w:rPr>
          <w:rFonts w:ascii="Times New Roman" w:hAnsi="Times New Roman" w:cs="Times New Roman"/>
        </w:rPr>
        <w:t xml:space="preserve"> </w:t>
      </w:r>
      <w:proofErr w:type="spellStart"/>
      <w:r w:rsidRPr="003727EB">
        <w:rPr>
          <w:rFonts w:ascii="Times New Roman" w:hAnsi="Times New Roman" w:cs="Times New Roman"/>
        </w:rPr>
        <w:t>vitro</w:t>
      </w:r>
      <w:proofErr w:type="spellEnd"/>
      <w:r w:rsidRPr="003727EB">
        <w:rPr>
          <w:rFonts w:ascii="Times New Roman" w:hAnsi="Times New Roman" w:cs="Times New Roman"/>
        </w:rPr>
        <w:t xml:space="preserve">»; Межгосударственный стандарт ГОСТ ISO 10993-10-2011 «Изделия медицинские. Оценка биологического действия медицинских изделий. Часть 10, Исследования раздражающего и сенсибилизирующего действия». 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обязан: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пункт приема должен быть оборудован пандусами для облегчения передвижения Получателей);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 xml:space="preserve">- осуществлять прием Получателей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Исполнитель должен изготавливать протезы, удовлетворяющие следующим требованиям: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D0390D" w:rsidRPr="003727EB" w:rsidRDefault="00D0390D" w:rsidP="003727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B83B39" w:rsidRPr="003727EB" w:rsidRDefault="00D0390D" w:rsidP="00372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27EB">
        <w:rPr>
          <w:rFonts w:ascii="Times New Roman" w:hAnsi="Times New Roman" w:cs="Times New Roman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0390D" w:rsidRPr="003727EB" w:rsidRDefault="00D0390D" w:rsidP="003727E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lang w:eastAsia="hi-IN"/>
        </w:rPr>
      </w:pPr>
      <w:r w:rsidRPr="003727EB">
        <w:rPr>
          <w:rFonts w:ascii="Times New Roman" w:eastAsia="SimSun" w:hAnsi="Times New Roman" w:cs="Times New Roman"/>
          <w:kern w:val="1"/>
          <w:lang w:eastAsia="hi-IN"/>
        </w:rPr>
        <w:t>Гарантийный срок эксплуатации протеза бедра модульного, в том числе при недоразвитии, протеза бедра для купания,</w:t>
      </w:r>
      <w:r w:rsidRPr="003727EB">
        <w:rPr>
          <w:rFonts w:ascii="Times New Roman" w:eastAsia="SimSun" w:hAnsi="Times New Roman" w:cs="Times New Roman"/>
          <w:b/>
          <w:kern w:val="1"/>
          <w:lang w:eastAsia="hi-IN"/>
        </w:rPr>
        <w:t xml:space="preserve"> </w:t>
      </w:r>
      <w:r w:rsidRPr="003727EB">
        <w:rPr>
          <w:rFonts w:ascii="Times New Roman" w:eastAsia="SimSun" w:hAnsi="Times New Roman" w:cs="Times New Roman"/>
          <w:kern w:val="1"/>
          <w:lang w:eastAsia="hi-IN"/>
        </w:rPr>
        <w:t>протеза голени модульного, в том числе при недоразвитии,</w:t>
      </w:r>
      <w:r w:rsidRPr="003727EB">
        <w:rPr>
          <w:rFonts w:ascii="Times New Roman" w:eastAsia="SimSun" w:hAnsi="Times New Roman" w:cs="Times New Roman"/>
          <w:kern w:val="1"/>
        </w:rPr>
        <w:t xml:space="preserve"> протеза голени для купания </w:t>
      </w:r>
      <w:r w:rsidRPr="003727EB">
        <w:rPr>
          <w:rFonts w:ascii="Times New Roman" w:eastAsia="SimSun" w:hAnsi="Times New Roman" w:cs="Times New Roman"/>
          <w:kern w:val="1"/>
          <w:lang w:eastAsia="hi-IN"/>
        </w:rPr>
        <w:t xml:space="preserve">составляет не менее 12 (двенадцати)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D0390D" w:rsidRPr="003727EB" w:rsidRDefault="00D0390D" w:rsidP="00372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727EB">
        <w:rPr>
          <w:rFonts w:ascii="Times New Roman" w:eastAsia="SimSun" w:hAnsi="Times New Roman" w:cs="Times New Roman"/>
          <w:kern w:val="1"/>
          <w:lang w:eastAsia="hi-IN"/>
        </w:rPr>
        <w:t>Срок пользования протеза бедра модульного, в том числе при врожденном недоразвитии</w:t>
      </w:r>
      <w:r w:rsidRPr="003727EB">
        <w:rPr>
          <w:rFonts w:ascii="Times New Roman" w:eastAsia="SimSun" w:hAnsi="Times New Roman" w:cs="Times New Roman"/>
          <w:kern w:val="1"/>
        </w:rPr>
        <w:t xml:space="preserve">, </w:t>
      </w:r>
      <w:r w:rsidRPr="003727EB">
        <w:rPr>
          <w:rFonts w:ascii="Times New Roman" w:eastAsia="SimSun" w:hAnsi="Times New Roman" w:cs="Times New Roman"/>
          <w:kern w:val="1"/>
          <w:lang w:eastAsia="hi-IN"/>
        </w:rPr>
        <w:t xml:space="preserve">протеза голени модульного, в том числе при недоразвитии, – не менее 2 лет, протеза бедра для купания, </w:t>
      </w:r>
      <w:r w:rsidRPr="003727EB">
        <w:rPr>
          <w:rFonts w:ascii="Times New Roman" w:eastAsia="SimSun" w:hAnsi="Times New Roman" w:cs="Times New Roman"/>
          <w:kern w:val="1"/>
        </w:rPr>
        <w:t>протеза голени для купания</w:t>
      </w:r>
      <w:r w:rsidRPr="003727EB">
        <w:rPr>
          <w:rFonts w:ascii="Times New Roman" w:eastAsia="SimSun" w:hAnsi="Times New Roman" w:cs="Times New Roman"/>
          <w:kern w:val="1"/>
          <w:lang w:eastAsia="hi-IN"/>
        </w:rPr>
        <w:t xml:space="preserve"> – не менее 3 лет с момента подписания Получателем Накладной о получении результата Работ.</w:t>
      </w:r>
    </w:p>
    <w:sectPr w:rsidR="00D0390D" w:rsidRPr="003727EB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B2582"/>
    <w:rsid w:val="000C12DB"/>
    <w:rsid w:val="000F7E24"/>
    <w:rsid w:val="00100004"/>
    <w:rsid w:val="00115188"/>
    <w:rsid w:val="00132638"/>
    <w:rsid w:val="00137850"/>
    <w:rsid w:val="0014434E"/>
    <w:rsid w:val="0014692A"/>
    <w:rsid w:val="00165F0C"/>
    <w:rsid w:val="00177A4A"/>
    <w:rsid w:val="00183FA6"/>
    <w:rsid w:val="001B309E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D0766"/>
    <w:rsid w:val="002E7FF8"/>
    <w:rsid w:val="0030275A"/>
    <w:rsid w:val="00305607"/>
    <w:rsid w:val="00322FCA"/>
    <w:rsid w:val="00355FD5"/>
    <w:rsid w:val="00362FDA"/>
    <w:rsid w:val="003727EB"/>
    <w:rsid w:val="00383A25"/>
    <w:rsid w:val="00397F4B"/>
    <w:rsid w:val="003D4690"/>
    <w:rsid w:val="004001DB"/>
    <w:rsid w:val="00430D39"/>
    <w:rsid w:val="00441812"/>
    <w:rsid w:val="00456FFA"/>
    <w:rsid w:val="0046760E"/>
    <w:rsid w:val="004A26A8"/>
    <w:rsid w:val="004A37AF"/>
    <w:rsid w:val="004B3E0B"/>
    <w:rsid w:val="004B5894"/>
    <w:rsid w:val="004E0CE9"/>
    <w:rsid w:val="00520145"/>
    <w:rsid w:val="0053746D"/>
    <w:rsid w:val="005466A4"/>
    <w:rsid w:val="0058377A"/>
    <w:rsid w:val="00591E8E"/>
    <w:rsid w:val="00594DFB"/>
    <w:rsid w:val="005A613E"/>
    <w:rsid w:val="005B40AD"/>
    <w:rsid w:val="005D7957"/>
    <w:rsid w:val="00652DC1"/>
    <w:rsid w:val="0066276D"/>
    <w:rsid w:val="00680608"/>
    <w:rsid w:val="00680E68"/>
    <w:rsid w:val="006F3224"/>
    <w:rsid w:val="0072166A"/>
    <w:rsid w:val="00743F50"/>
    <w:rsid w:val="007555EE"/>
    <w:rsid w:val="00782A11"/>
    <w:rsid w:val="007A28D7"/>
    <w:rsid w:val="007B1D59"/>
    <w:rsid w:val="007B79AD"/>
    <w:rsid w:val="007C26BB"/>
    <w:rsid w:val="007E432B"/>
    <w:rsid w:val="007E455E"/>
    <w:rsid w:val="007F5BF7"/>
    <w:rsid w:val="00806A61"/>
    <w:rsid w:val="008144BF"/>
    <w:rsid w:val="008173DB"/>
    <w:rsid w:val="008514B5"/>
    <w:rsid w:val="00855E6F"/>
    <w:rsid w:val="00894701"/>
    <w:rsid w:val="008C48BA"/>
    <w:rsid w:val="008E5B6A"/>
    <w:rsid w:val="008E665B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C1DF2"/>
    <w:rsid w:val="009D02E3"/>
    <w:rsid w:val="00A44C13"/>
    <w:rsid w:val="00A53129"/>
    <w:rsid w:val="00A57899"/>
    <w:rsid w:val="00A61D9E"/>
    <w:rsid w:val="00A62ACB"/>
    <w:rsid w:val="00A708DB"/>
    <w:rsid w:val="00AB336F"/>
    <w:rsid w:val="00AE24DD"/>
    <w:rsid w:val="00B02EFF"/>
    <w:rsid w:val="00B325DF"/>
    <w:rsid w:val="00B37D7F"/>
    <w:rsid w:val="00B747C4"/>
    <w:rsid w:val="00B8125E"/>
    <w:rsid w:val="00B83B39"/>
    <w:rsid w:val="00BB3EA2"/>
    <w:rsid w:val="00BD5794"/>
    <w:rsid w:val="00C27409"/>
    <w:rsid w:val="00C707AF"/>
    <w:rsid w:val="00C81BE3"/>
    <w:rsid w:val="00CA5BA0"/>
    <w:rsid w:val="00D0390D"/>
    <w:rsid w:val="00D21FC7"/>
    <w:rsid w:val="00D24FD5"/>
    <w:rsid w:val="00D67A8E"/>
    <w:rsid w:val="00D75E8A"/>
    <w:rsid w:val="00D828EA"/>
    <w:rsid w:val="00DC21C6"/>
    <w:rsid w:val="00DD16B8"/>
    <w:rsid w:val="00DD6D6A"/>
    <w:rsid w:val="00DE1853"/>
    <w:rsid w:val="00E12342"/>
    <w:rsid w:val="00E92D49"/>
    <w:rsid w:val="00EC4199"/>
    <w:rsid w:val="00ED13B0"/>
    <w:rsid w:val="00ED46A6"/>
    <w:rsid w:val="00F1610E"/>
    <w:rsid w:val="00F17AB1"/>
    <w:rsid w:val="00F27E41"/>
    <w:rsid w:val="00F35207"/>
    <w:rsid w:val="00F76B92"/>
    <w:rsid w:val="00F823ED"/>
    <w:rsid w:val="00F86F66"/>
    <w:rsid w:val="00F87E63"/>
    <w:rsid w:val="00FA2E34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AC4D-5F79-4BEA-81D8-2FF1CA07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248</cp:revision>
  <cp:lastPrinted>2022-02-10T02:44:00Z</cp:lastPrinted>
  <dcterms:created xsi:type="dcterms:W3CDTF">2022-01-20T04:41:00Z</dcterms:created>
  <dcterms:modified xsi:type="dcterms:W3CDTF">2022-05-25T07:50:00Z</dcterms:modified>
</cp:coreProperties>
</file>