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10343"/>
      </w:tblGrid>
      <w:tr w:rsidR="002B72D2" w:rsidTr="00C26330"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8DB" w:rsidRDefault="003B58DB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Описание объекта закупки</w:t>
            </w:r>
          </w:p>
          <w:p w:rsidR="002B72D2" w:rsidRDefault="002B72D2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  <w:r w:rsidRPr="002B72D2">
              <w:rPr>
                <w:b/>
                <w:lang w:eastAsia="ru-RU"/>
              </w:rPr>
              <w:t>на поставку специальных средств при нарушениях функций</w:t>
            </w:r>
            <w:r w:rsidR="00F652A5">
              <w:rPr>
                <w:b/>
                <w:lang w:eastAsia="ru-RU"/>
              </w:rPr>
              <w:t xml:space="preserve"> выделения инвалидам и отдельным категориям</w:t>
            </w:r>
            <w:r w:rsidRPr="002B72D2">
              <w:rPr>
                <w:b/>
                <w:lang w:eastAsia="ru-RU"/>
              </w:rPr>
              <w:t xml:space="preserve"> гражда</w:t>
            </w:r>
            <w:r>
              <w:rPr>
                <w:b/>
                <w:lang w:eastAsia="ru-RU"/>
              </w:rPr>
              <w:t xml:space="preserve">н из числа ветеранов </w:t>
            </w:r>
            <w:r w:rsidRPr="00B36E0D">
              <w:rPr>
                <w:b/>
                <w:lang w:eastAsia="ru-RU"/>
              </w:rPr>
              <w:t>в 202</w:t>
            </w:r>
            <w:r>
              <w:rPr>
                <w:b/>
                <w:lang w:eastAsia="ru-RU"/>
              </w:rPr>
              <w:t>3</w:t>
            </w:r>
            <w:r w:rsidRPr="00B36E0D">
              <w:rPr>
                <w:b/>
                <w:lang w:eastAsia="ru-RU"/>
              </w:rPr>
              <w:t xml:space="preserve"> году</w:t>
            </w:r>
          </w:p>
          <w:p w:rsidR="00A168F0" w:rsidRPr="00B36E0D" w:rsidRDefault="00A168F0" w:rsidP="002B72D2">
            <w:pPr>
              <w:pStyle w:val="a8"/>
              <w:spacing w:before="0" w:after="0"/>
              <w:jc w:val="center"/>
              <w:rPr>
                <w:b/>
                <w:lang w:eastAsia="ru-RU"/>
              </w:rPr>
            </w:pPr>
          </w:p>
          <w:p w:rsidR="00A168F0" w:rsidRPr="00A168F0" w:rsidRDefault="00A168F0" w:rsidP="00A168F0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Объект закупки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Вспомогательные средства для людей с ограничениями жизнедеятельности. Классификация с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редств представлена в соответствии с  ГОСТ Р ИСО 9999-2014. Вспомогательные средства для индивидуального ухода (для самообслуживания) и индивидуальной защиты: изделия для защиты кожи и для ухода за кожей, моче- и калоприемники.</w:t>
            </w:r>
          </w:p>
          <w:p w:rsidR="00A168F0" w:rsidRPr="00A168F0" w:rsidRDefault="00A168F0" w:rsidP="00A168F0">
            <w:pPr>
              <w:suppressAutoHyphens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качеству товара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вспомогательных средствах для индивидуального ухода (для самообслуживания) и индивидуальной защиты: изделия для защиты кожи и для ухода за кожей, моче- и калоприемники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допускаются механические повреждения (разрыв края, разрезы и т.п.).</w:t>
            </w: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безопасности товара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Вспомогательные средства для индивидуального ухода (для самообслуживания) и индивидуальной защиты: изделия для 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соответствовать требованиям стандартов серии ГОСТ Р ИСО 10993-1-2009 «Оценка биологического действия медицинских изделий».</w:t>
            </w:r>
          </w:p>
          <w:p w:rsidR="00A168F0" w:rsidRPr="00A168F0" w:rsidRDefault="00A168F0" w:rsidP="00A168F0">
            <w:pPr>
              <w:keepNext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Сырье и материалы для изготовления 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быть разрешены к применению Министерством здравоохранения и социального развития Российской Федерации. </w:t>
            </w:r>
          </w:p>
          <w:p w:rsidR="00A168F0" w:rsidRPr="00A168F0" w:rsidRDefault="00A168F0" w:rsidP="00A168F0">
            <w:pPr>
              <w:keepNext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Продукция должна иметь регистрационные удостоверения медицинского изделия Росздравнадзора. Наличие сертификата соответствия системы  Госстандарт РФ или декларации о соответствии.</w:t>
            </w:r>
          </w:p>
          <w:p w:rsidR="00A168F0" w:rsidRPr="00A168F0" w:rsidRDefault="00A168F0" w:rsidP="00A168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функциональным характеристикам товара</w:t>
            </w:r>
          </w:p>
          <w:p w:rsidR="00A168F0" w:rsidRPr="00A168F0" w:rsidRDefault="00A168F0" w:rsidP="00A168F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Кало- и мочеприемники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A168F0" w:rsidRPr="00A168F0" w:rsidRDefault="00A168F0" w:rsidP="00A168F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Конструкция калоприемников и мочеприемников должна обеспечивать пользователю удобство и простоту обращения с ними, легкость в уходе.</w:t>
            </w: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размерам, упаковке и отгрузке товара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8F0" w:rsidRPr="00A168F0" w:rsidRDefault="00A168F0" w:rsidP="00A168F0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A168F0" w:rsidRPr="00A168F0" w:rsidRDefault="00A168F0" w:rsidP="00A168F0">
            <w:pPr>
              <w:keepNext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A168F0" w:rsidRPr="00A168F0" w:rsidRDefault="00A168F0" w:rsidP="00A168F0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A168F0" w:rsidRPr="00A168F0" w:rsidRDefault="00A168F0" w:rsidP="00A168F0">
            <w:pPr>
              <w:keepLines/>
              <w:widowControl w:val="0"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Маркировка  упаковки должна включать: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условное обозначение группы изделий, товарную марку (при наличии), 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-обозначение номера изделия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отличительные характеристики изделий в соответствии с их техническим исполнением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A168F0" w:rsidRPr="00A168F0" w:rsidRDefault="00A168F0" w:rsidP="00A168F0">
            <w:pPr>
              <w:keepLines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дату (месяц, год) изготовления или гарантийный срок годности (при наличии);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A168F0" w:rsidRPr="00A168F0" w:rsidRDefault="00A168F0" w:rsidP="00A168F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сроку и (или) объему предоставленных гарантий качества </w:t>
            </w:r>
          </w:p>
          <w:p w:rsidR="00A168F0" w:rsidRPr="00A168F0" w:rsidRDefault="00A168F0" w:rsidP="00A168F0">
            <w:pPr>
              <w:widowControl w:val="0"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Изделия для защиты кожи и для ухода за кожей, моче- и калоприемники 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соответствовать требованиям государственных стандартов. </w:t>
            </w:r>
          </w:p>
          <w:p w:rsidR="00A168F0" w:rsidRPr="00A168F0" w:rsidRDefault="00A168F0" w:rsidP="00A168F0">
            <w:pPr>
              <w:keepNext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годности </w:t>
            </w:r>
            <w:r w:rsidRPr="00A168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изделий для защиты кожи и для ухода за кожей, моче- и калоприемников</w:t>
            </w:r>
            <w:r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момент выдачи изделий должен быть не менее 1 года.</w:t>
            </w:r>
          </w:p>
          <w:p w:rsidR="00A168F0" w:rsidRPr="00A168F0" w:rsidRDefault="00A168F0" w:rsidP="00A168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8F0" w:rsidRPr="00A168F0" w:rsidRDefault="00A168F0" w:rsidP="00A168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8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мест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у, срокам  и условиям поставки </w:t>
            </w:r>
          </w:p>
          <w:p w:rsidR="00A168F0" w:rsidRPr="00A168F0" w:rsidRDefault="00A168F0" w:rsidP="00A168F0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Поставка Товара осуществляется непосредственно Получателю по месту его жительства (Республика Ингушетия),  в течение 30 календарных дней, для Получателей из числа инвалидов, нуждающихся в оказании паллиативной медицинской помощи, в течение</w:t>
            </w:r>
          </w:p>
          <w:p w:rsidR="00A168F0" w:rsidRPr="00A168F0" w:rsidRDefault="008727C8" w:rsidP="00A168F0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 календарных дней  (до 30</w:t>
            </w:r>
            <w:r w:rsidR="004F26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.08</w:t>
            </w:r>
            <w:r w:rsidR="00A168F0"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bookmarkStart w:id="0" w:name="_GoBack"/>
            <w:r w:rsidR="00A168F0"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2023</w:t>
            </w:r>
            <w:bookmarkEnd w:id="0"/>
            <w:r w:rsidR="00A168F0" w:rsidRPr="00A168F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года)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</w:t>
            </w:r>
            <w:r w:rsidR="00A168F0" w:rsidRPr="00A168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8F0" w:rsidRPr="00A168F0" w:rsidRDefault="00A168F0" w:rsidP="00A168F0">
            <w:pPr>
              <w:keepLines/>
              <w:suppressAutoHyphens/>
              <w:spacing w:before="240" w:after="120" w:line="0" w:lineRule="atLeast"/>
              <w:ind w:left="1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Сведения о включенных в цену товара расходах</w:t>
            </w:r>
          </w:p>
          <w:p w:rsidR="00A168F0" w:rsidRPr="00A168F0" w:rsidRDefault="00A168F0" w:rsidP="00A168F0">
            <w:pPr>
              <w:keepLines/>
              <w:suppressAutoHyphens/>
              <w:spacing w:before="240" w:after="120" w:line="0" w:lineRule="atLeast"/>
              <w:ind w:left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168F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    В цену товара включаются стоимость товара, все расходы, связанные с  доставкой товара</w:t>
            </w:r>
            <w:r w:rsidRPr="00A168F0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eastAsia="ar-SA"/>
              </w:rPr>
              <w:t xml:space="preserve"> до места жительства инвалидов;</w:t>
            </w:r>
            <w:r w:rsidRPr="00A168F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страхованием, уплатой таможенных пошлин, налогов, сборов и других обязательных платежей, подлежащих уплате при исполнении государственного контракта.</w:t>
            </w:r>
          </w:p>
          <w:p w:rsidR="00A168F0" w:rsidRPr="00A168F0" w:rsidRDefault="00A168F0" w:rsidP="00A168F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tbl>
            <w:tblPr>
              <w:tblpPr w:leftFromText="180" w:rightFromText="180" w:vertAnchor="text" w:tblpY="1"/>
              <w:tblOverlap w:val="never"/>
              <w:tblW w:w="9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7207"/>
              <w:gridCol w:w="1360"/>
            </w:tblGrid>
            <w:tr w:rsidR="00A168F0" w:rsidRPr="00A168F0" w:rsidTr="00FB5AE1">
              <w:trPr>
                <w:trHeight w:val="69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 w:bidi="hi-IN"/>
                    </w:rPr>
                    <w:t>№ п/п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Наименование и техническая характеристика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8F0" w:rsidRPr="00A168F0" w:rsidRDefault="00A168F0" w:rsidP="00A168F0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Количество  (шт)</w:t>
                  </w:r>
                </w:p>
              </w:tc>
            </w:tr>
            <w:tr w:rsidR="00D81A3B" w:rsidRPr="00A168F0" w:rsidTr="00026636">
              <w:trPr>
                <w:trHeight w:val="255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eastAsia="Arial Unicode MS"/>
                      <w:bCs/>
                      <w:sz w:val="20"/>
                      <w:szCs w:val="20"/>
                      <w:u w:val="single"/>
                      <w:lang w:eastAsia="hi-IN" w:bidi="hi-IN"/>
                    </w:rPr>
                  </w:pPr>
                  <w:r>
                    <w:rPr>
                      <w:rFonts w:eastAsia="Arial Unicode MS"/>
                      <w:bCs/>
                      <w:sz w:val="20"/>
                      <w:szCs w:val="20"/>
                      <w:u w:val="single"/>
                      <w:lang w:eastAsia="hi-IN" w:bidi="hi-IN"/>
                    </w:rPr>
                    <w:t>1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eastAsia="Arial Unicode MS"/>
                      <w:bCs/>
                      <w:sz w:val="20"/>
                      <w:szCs w:val="20"/>
                      <w:u w:val="single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u w:val="single"/>
                      <w:lang w:eastAsia="hi-IN" w:bidi="hi-IN"/>
                    </w:rPr>
                    <w:t>Мочеприемник однокомпонентный уростомный «Стомадресс Плюс» или эквивалент:</w:t>
                  </w:r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25" w:right="5"/>
                    <w:jc w:val="both"/>
                    <w:rPr>
                      <w:rFonts w:ascii="Calibri" w:eastAsia="Arial Unicode MS" w:hAnsi="Calibri"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 xml:space="preserve">Мочеприемник однокомпонентный  прозрачный со встроенной адгезивной  пластиной из натурального  пектин-желатинового гидроколлоида, из многослойного полиэтилена, с антирефлюкс-ным  и сливным клапанами, с вырезаемым отверстием для уростомы от 19  мм, но не более 48мм. </w:t>
                  </w:r>
                </w:p>
                <w:p w:rsidR="00D81A3B" w:rsidRPr="00AA7C7E" w:rsidRDefault="00D81A3B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0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 w:cs="Calibri"/>
                      <w:color w:val="000000"/>
                      <w:lang w:eastAsia="hi-IN" w:bidi="hi-IN"/>
                    </w:rPr>
                    <w:t>01.28.21.01.05 - Однокомпонентный дренируемый уроприемник со встроенной плоской пластиной (ОКПД2: 32.50.13.190 -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25" w:right="5"/>
                    <w:jc w:val="both"/>
                    <w:rPr>
                      <w:rFonts w:ascii="Calibri" w:eastAsia="Arial Unicode MS" w:hAnsi="Calibr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1350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145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2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паста – герметик для защиты и выравнивания кожи вокруг стомы в тубе не менее 60 г. в тубе.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7" w:anchor="/Koz?id=14098346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     01.28.21.01.29 - Паста-герметик для защиты и выравнивания кожи вокруг стомы в тубе, не менее 60 г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280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lastRenderedPageBreak/>
                    <w:t>3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Крем защитный в тубе, не менее 60 г. в тубе.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8" w:anchor="/Koz?id=14098348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      01.28.21.01.31 - Крем защитный в тубе, не менее 60 мл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302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4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Защитная пленка в форме салфеток, не менее  30 шт в пачке. 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9" w:anchor="/Koz?id=14098351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   01.28.21.01.34 - Защитная пленка в форме салфеток, не менее 30 шт.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6000,00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280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5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Очиститель для кожи во флаконе не менее  180 гр.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0" w:anchor="/Koz?id=14098352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       01.28.21.01.35 - Очиститель для кожи во флаконе, не менее 180 мл (КТРУ: 32.50.13.190-00006910 - Очиститель для кожи во флаконе, не менее 180 мл)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300,00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279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6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Устройство мочеприемное «Уроцел» №3 предназначено для сбора мочи из естественного канала у мужчин, страдающих недержанием мочи.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Устройство состоит из катетера наружного (уропрезерватива) 4-х типоразмеров, укрепляемого с помощью герметизирующей полоски на половом члене и мешка-мочеприемника с ремнями для крепления к голени.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 xml:space="preserve">Уропрезервативы </w:t>
                  </w:r>
                  <w:r w:rsidRPr="00513B14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изготовлены из натурального латекса и выпускаются четырех размеров. Уропрезерватив крепится на пенисе с помощью специальной герметизирующей полоски и предназначен для использования в течение суток.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Герметизирующая полоска</w:t>
                  </w:r>
                  <w:r w:rsidRPr="00513B14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 предназначена для фиксирования уропрезерватива на пенисе и предотвращения подтекания мочи между кожей и улавливателем. Полоска представляет собой эластичную ленту, клейкую с двух сторон. Материал этой полоски не вызывает раздражения кожи и, более того, обладает ранозаживляющими свойствами.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Мешок-мочеприемник</w:t>
                  </w:r>
                  <w:r w:rsidRPr="00513B14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, объемом  не менее 500 мл, предназначен для ношения в течение 10 дней.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Состав комплекта: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1.Уропрезерватив -10 шт;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2.Герметизирующая полоска-10 шт;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>3.Мешок-мочеприемник- 1шт;</w:t>
                  </w:r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513B14">
                    <w:rPr>
                      <w:rFonts w:ascii="Calibri" w:eastAsia="Arial Unicode MS" w:hAnsi="Calibri"/>
                      <w:b/>
                      <w:bCs/>
                      <w:sz w:val="20"/>
                      <w:szCs w:val="20"/>
                      <w:lang w:eastAsia="hi-IN" w:bidi="hi-IN"/>
                    </w:rPr>
                    <w:t xml:space="preserve">4.Ремень для мочеприемника- 2 шт. </w:t>
                  </w:r>
                </w:p>
                <w:p w:rsidR="00D81A3B" w:rsidRPr="00513B14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u w:val="single"/>
                      <w:lang w:eastAsia="hi-IN" w:bidi="hi-IN"/>
                    </w:rPr>
                  </w:pPr>
                  <w:hyperlink r:id="rId11" w:anchor="/Koz?id=14098336" w:history="1">
                    <w:r w:rsidR="00D81A3B" w:rsidRPr="00513B14">
                      <w:rPr>
                        <w:rFonts w:ascii="Calibri" w:eastAsia="Arial Unicode MS" w:hAnsi="Calibri" w:cs="Calibri"/>
                        <w:u w:val="single"/>
                        <w:lang w:eastAsia="hi-IN" w:bidi="hi-IN"/>
                      </w:rPr>
                      <w:t>·        01.28.21.01.19 - Уропрезерватив самоклеящийся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513B14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2160</w:t>
                  </w:r>
                </w:p>
                <w:p w:rsidR="00D81A3B" w:rsidRPr="00513B14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D81A3B" w:rsidRPr="00A168F0" w:rsidTr="00FB5AE1">
              <w:trPr>
                <w:trHeight w:val="1918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lastRenderedPageBreak/>
                    <w:t>7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513B14" w:rsidRDefault="00D81A3B" w:rsidP="00D81A3B">
                  <w:pPr>
                    <w:ind w:left="170" w:right="5"/>
                    <w:jc w:val="both"/>
                    <w:rPr>
                      <w:rFonts w:ascii="Calibri" w:hAnsi="Calibri"/>
                      <w:bCs/>
                    </w:rPr>
                  </w:pPr>
                  <w:r w:rsidRPr="00513B14">
                    <w:rPr>
                      <w:rFonts w:ascii="Calibri" w:hAnsi="Calibri"/>
                      <w:bCs/>
                    </w:rPr>
                    <w:t xml:space="preserve">Уроприемники двухкомпонентные разъемные в комплекте: состоит из клеящейся пластины и ёмкости, которые соединяются между собой при помощи фланцевого замка. Клеящаяся пластина состоящая из герметизирующего кольца и липкого фланца, обеспечивает герметичность и надежность крепления мочеприемника. Материал герметизирующего кольца обладает ранозаживляющими свойствами.  Ёмкости должны быть изготовлены из запахонепроницаемого материала с мягкой подкладкой из полимерной сетки, прилегающей к коже. Встроенный невозвратный клапан должен предотвращает заброс мочи обратно в уростому, что снижает риск инфицирования.  Надёжный и удобный в использовании сливной кран должен позволяет легко опорожнять ёмкость. Для дополнительной фиксации двухкомпонентных калоприемников можно использовать пояс. </w:t>
                  </w:r>
                </w:p>
                <w:p w:rsidR="00D81A3B" w:rsidRPr="00513B14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u w:val="single"/>
                      <w:lang w:eastAsia="hi-IN" w:bidi="hi-IN"/>
                    </w:rPr>
                  </w:pPr>
                  <w:hyperlink r:id="rId12" w:anchor="/Koz?id=177225014" w:history="1">
                    <w:r w:rsidR="00D81A3B" w:rsidRPr="00513B14">
                      <w:rPr>
                        <w:rFonts w:ascii="Calibri" w:eastAsia="Arial Unicode MS" w:hAnsi="Calibri" w:cs="Calibri"/>
                        <w:u w:val="single"/>
                        <w:lang w:eastAsia="hi-IN" w:bidi="hi-IN"/>
                      </w:rPr>
                      <w:t>o   01.28.21.01.11.02 - Адгезивная пластина, плоская для двухкомпонентного дренируемого уроприемника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513B14" w:rsidRDefault="00D81A3B" w:rsidP="00D81A3B">
                  <w:pPr>
                    <w:ind w:left="170" w:right="5"/>
                    <w:jc w:val="both"/>
                    <w:rPr>
                      <w:rFonts w:ascii="Calibri" w:hAnsi="Calibri"/>
                      <w:bCs/>
                      <w:color w:val="FF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13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8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 xml:space="preserve">Ёмкости, мешки  изготовлены из запахонепроницаемого материала с мягкой подкладкой из полимерной сетки, прилегающей к коже. Встроенный невозвратный клапан предотвращает заброс мочи обратно в уростому, что снижает риск инфицирования.Надёжный и удобный в использовании сливной кран позволяет легко опорожнять ёмкость.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3" w:anchor="/Koz?id=177225015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01.28.21.01.11.03 - Мешок дренируемый для двухкомпонентного дренируемого уроприемника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1654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9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>Предназначен для дополнительной фиксации двухкомпонентных кало- и уроприёмников на теле пациента. Изготовлен из эластичного материала, легко регулируется по длине.</w:t>
                  </w:r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256" w:lineRule="auto"/>
                    <w:ind w:left="170" w:right="6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>Пояс :</w:t>
                  </w:r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256" w:lineRule="auto"/>
                    <w:ind w:left="170" w:right="6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>надежно удерживает ёмкость на теле</w:t>
                  </w:r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256" w:lineRule="auto"/>
                    <w:ind w:left="170" w:right="6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>препятствует разъединению фланцевого замка</w:t>
                  </w:r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256" w:lineRule="auto"/>
                    <w:ind w:left="170" w:right="6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>придаёт дополнительную уверенность и поддержку при ношении</w:t>
                  </w:r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  <w:t xml:space="preserve">Подходит для всех видов кало- и уроприёмников, ёмкости которых имеют крепления для пояса в виде "ушек". 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4" w:anchor="/Koz?id=14098330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 xml:space="preserve">·        01.28.21.01.13 - Пояс для калоприемников и уроприемников </w:t>
                    </w:r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lastRenderedPageBreak/>
                      <w:t>(КТРУ: 32.50.13.190-00006908 - Пояс для калоприемников и уроприемников)</w:t>
                    </w:r>
                  </w:hyperlink>
                </w:p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100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026636">
              <w:trPr>
                <w:trHeight w:val="136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lastRenderedPageBreak/>
                    <w:t>10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  <w:t>Очиститель для кожи в форме салфеток, не менее 30 шт.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5" w:anchor="/Koz?id=177223808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·        01.28.21.01.36 - Очиститель для кожи в форме салфеток, не менее 30 шт. (КТРУ: 32.50.13.190-00006911 - Очиститель для кожи в форме салфеток, не менее 30 шт.)</w:t>
                    </w:r>
                  </w:hyperlink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026636">
              <w:trPr>
                <w:trHeight w:val="6016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11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  <w:t>Нейтрализатор запаха во флаконе, не менее 50 мл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6" w:anchor="/Koz?id=14098353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·        01.28.21.01.37 - Нейтрализатор запаха во флаконе, не менее 50 мл (КТРУ: 32.50.13.190-00006912 - Нейтрализатор запаха во флаконе, не менее 50 мл)</w:t>
                    </w:r>
                  </w:hyperlink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026636">
              <w:trPr>
                <w:trHeight w:val="411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/>
                    <w:jc w:val="both"/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/>
                      <w:bCs/>
                      <w:sz w:val="20"/>
                      <w:szCs w:val="20"/>
                      <w:lang w:eastAsia="hi-IN" w:bidi="hi-IN"/>
                    </w:rPr>
                    <w:t>12</w:t>
                  </w: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A7C7E" w:rsidRDefault="00D81A3B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</w:pPr>
                  <w:r w:rsidRPr="00AA7C7E">
                    <w:rPr>
                      <w:rFonts w:eastAsia="Arial Unicode MS"/>
                      <w:sz w:val="20"/>
                      <w:szCs w:val="20"/>
                      <w:lang w:eastAsia="hi-IN" w:bidi="hi-IN"/>
                    </w:rPr>
                    <w:t>Защитные кольца для кожи вокруг стомы</w:t>
                  </w:r>
                </w:p>
                <w:p w:rsidR="00D81A3B" w:rsidRPr="00AA7C7E" w:rsidRDefault="00920322" w:rsidP="00D81A3B">
                  <w:pPr>
                    <w:widowControl w:val="0"/>
                    <w:suppressAutoHyphens/>
                    <w:ind w:firstLine="720"/>
                    <w:jc w:val="both"/>
                    <w:rPr>
                      <w:rFonts w:ascii="Calibri" w:eastAsia="Arial Unicode MS" w:hAnsi="Calibri" w:cs="Calibri"/>
                      <w:color w:val="0000FF"/>
                      <w:u w:val="single"/>
                      <w:lang w:eastAsia="hi-IN" w:bidi="hi-IN"/>
                    </w:rPr>
                  </w:pPr>
                  <w:hyperlink r:id="rId17" w:anchor="/Koz?id=14098357" w:history="1">
                    <w:r w:rsidR="00D81A3B" w:rsidRPr="00AA7C7E">
                      <w:rPr>
                        <w:rFonts w:ascii="Calibri" w:eastAsia="Arial Unicode MS" w:hAnsi="Calibri" w:cs="Calibri"/>
                        <w:color w:val="0000FF"/>
                        <w:u w:val="single"/>
                        <w:lang w:eastAsia="hi-IN" w:bidi="hi-IN"/>
                      </w:rPr>
                      <w:t>·        01.28.21.01.41 - Защитные кольца для кожи вокруг стомы (ОКПД2: 32.50.13.190 - Инструменты и приспособления, применяемые в медицинских целях, прочие, не включенные в другие группировки)</w:t>
                    </w:r>
                  </w:hyperlink>
                </w:p>
                <w:p w:rsidR="00D81A3B" w:rsidRPr="00AA7C7E" w:rsidRDefault="00D81A3B" w:rsidP="00D81A3B">
                  <w:pPr>
                    <w:widowControl w:val="0"/>
                    <w:tabs>
                      <w:tab w:val="left" w:pos="708"/>
                    </w:tabs>
                    <w:suppressAutoHyphens/>
                    <w:snapToGrid w:val="0"/>
                    <w:spacing w:line="100" w:lineRule="atLeast"/>
                    <w:ind w:left="170" w:right="5" w:firstLine="720"/>
                    <w:jc w:val="both"/>
                    <w:rPr>
                      <w:rFonts w:eastAsia="Arial Unicode MS"/>
                      <w:bCs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A3B" w:rsidRDefault="00D81A3B" w:rsidP="00D81A3B">
                  <w:pPr>
                    <w:jc w:val="both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3000</w:t>
                  </w:r>
                </w:p>
                <w:p w:rsidR="00D81A3B" w:rsidRDefault="00D81A3B" w:rsidP="00D81A3B">
                  <w:pPr>
                    <w:spacing w:line="256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81A3B" w:rsidRPr="00A168F0" w:rsidTr="00FB5AE1">
              <w:trPr>
                <w:trHeight w:val="238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A3B" w:rsidRPr="00A168F0" w:rsidRDefault="00D81A3B" w:rsidP="00D81A3B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</w:p>
              </w:tc>
              <w:tc>
                <w:tcPr>
                  <w:tcW w:w="7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1A3B" w:rsidRPr="00A168F0" w:rsidRDefault="00D81A3B" w:rsidP="00D81A3B">
                  <w:pPr>
                    <w:keepNext/>
                    <w:spacing w:after="0" w:line="240" w:lineRule="auto"/>
                    <w:jc w:val="center"/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</w:pPr>
                  <w:r w:rsidRPr="00A168F0">
                    <w:rPr>
                      <w:rFonts w:ascii="Arial" w:eastAsia="Lucida Sans Unicode" w:hAnsi="Arial" w:cs="Times New Roman"/>
                      <w:kern w:val="2"/>
                      <w:sz w:val="20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1A3B" w:rsidRPr="00A168F0" w:rsidRDefault="00D81A3B" w:rsidP="00D81A3B">
                  <w:pPr>
                    <w:widowControl w:val="0"/>
                    <w:suppressAutoHyphens/>
                    <w:spacing w:after="0" w:line="240" w:lineRule="auto"/>
                    <w:rPr>
                      <w:rFonts w:ascii="Calibri" w:eastAsia="Arial Unicode MS" w:hAnsi="Calibri" w:cs="Calibri"/>
                      <w:color w:val="000000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Calibri" w:eastAsia="Arial Unicode MS" w:hAnsi="Calibri" w:cs="Calibri"/>
                      <w:color w:val="000000"/>
                      <w:sz w:val="20"/>
                      <w:szCs w:val="20"/>
                      <w:lang w:eastAsia="hi-IN" w:bidi="hi-IN"/>
                    </w:rPr>
                    <w:t>22090</w:t>
                  </w:r>
                </w:p>
              </w:tc>
            </w:tr>
          </w:tbl>
          <w:p w:rsidR="00A168F0" w:rsidRPr="00A168F0" w:rsidRDefault="00A168F0" w:rsidP="00A168F0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  <w:p w:rsidR="002B72D2" w:rsidRDefault="002B72D2" w:rsidP="006E7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D0201F" w:rsidRDefault="00D0201F" w:rsidP="004F6E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ru-RU"/>
        </w:rPr>
      </w:pPr>
    </w:p>
    <w:sectPr w:rsidR="00D0201F" w:rsidSect="0067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22" w:rsidRDefault="00920322" w:rsidP="00673F0E">
      <w:pPr>
        <w:spacing w:after="0" w:line="240" w:lineRule="auto"/>
      </w:pPr>
      <w:r>
        <w:separator/>
      </w:r>
    </w:p>
  </w:endnote>
  <w:endnote w:type="continuationSeparator" w:id="0">
    <w:p w:rsidR="00920322" w:rsidRDefault="00920322" w:rsidP="006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22" w:rsidRDefault="00920322" w:rsidP="00673F0E">
      <w:pPr>
        <w:spacing w:after="0" w:line="240" w:lineRule="auto"/>
      </w:pPr>
      <w:r>
        <w:separator/>
      </w:r>
    </w:p>
  </w:footnote>
  <w:footnote w:type="continuationSeparator" w:id="0">
    <w:p w:rsidR="00920322" w:rsidRDefault="00920322" w:rsidP="0067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B6"/>
    <w:rsid w:val="000C1B94"/>
    <w:rsid w:val="00247C55"/>
    <w:rsid w:val="002B72D2"/>
    <w:rsid w:val="0033742A"/>
    <w:rsid w:val="00381327"/>
    <w:rsid w:val="003B58DB"/>
    <w:rsid w:val="003F7923"/>
    <w:rsid w:val="004F26FD"/>
    <w:rsid w:val="004F6E3C"/>
    <w:rsid w:val="00673F0E"/>
    <w:rsid w:val="006B4946"/>
    <w:rsid w:val="006E703F"/>
    <w:rsid w:val="00701BD5"/>
    <w:rsid w:val="007C0E13"/>
    <w:rsid w:val="008727C8"/>
    <w:rsid w:val="009077C0"/>
    <w:rsid w:val="00910E1A"/>
    <w:rsid w:val="00920322"/>
    <w:rsid w:val="00934AA1"/>
    <w:rsid w:val="009A3DEB"/>
    <w:rsid w:val="00A168F0"/>
    <w:rsid w:val="00A567A5"/>
    <w:rsid w:val="00AB6683"/>
    <w:rsid w:val="00AF0FFA"/>
    <w:rsid w:val="00B36A65"/>
    <w:rsid w:val="00B64A8B"/>
    <w:rsid w:val="00B83A8C"/>
    <w:rsid w:val="00BB20C4"/>
    <w:rsid w:val="00C209FA"/>
    <w:rsid w:val="00C26330"/>
    <w:rsid w:val="00C51EC6"/>
    <w:rsid w:val="00CC1BB6"/>
    <w:rsid w:val="00D0201F"/>
    <w:rsid w:val="00D3395F"/>
    <w:rsid w:val="00D34841"/>
    <w:rsid w:val="00D37360"/>
    <w:rsid w:val="00D81A3B"/>
    <w:rsid w:val="00DB334D"/>
    <w:rsid w:val="00E37659"/>
    <w:rsid w:val="00E472E1"/>
    <w:rsid w:val="00F155FA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D0CE-1071-44B7-88D6-D3290D6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E7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6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F0E"/>
  </w:style>
  <w:style w:type="paragraph" w:styleId="a6">
    <w:name w:val="footer"/>
    <w:basedOn w:val="a"/>
    <w:link w:val="a7"/>
    <w:uiPriority w:val="99"/>
    <w:unhideWhenUsed/>
    <w:rsid w:val="0067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F0E"/>
  </w:style>
  <w:style w:type="paragraph" w:styleId="a8">
    <w:name w:val="Normal (Web)"/>
    <w:basedOn w:val="a"/>
    <w:rsid w:val="002B7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934AA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fss.ru/" TargetMode="External"/><Relationship Id="rId13" Type="http://schemas.openxmlformats.org/officeDocument/2006/relationships/hyperlink" Target="http://zakupki.fs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fss.ru/" TargetMode="External"/><Relationship Id="rId12" Type="http://schemas.openxmlformats.org/officeDocument/2006/relationships/hyperlink" Target="http://zakupki.fss.ru/" TargetMode="External"/><Relationship Id="rId17" Type="http://schemas.openxmlformats.org/officeDocument/2006/relationships/hyperlink" Target="http://zakupki.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f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f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upki.fss.ru/" TargetMode="External"/><Relationship Id="rId10" Type="http://schemas.openxmlformats.org/officeDocument/2006/relationships/hyperlink" Target="http://zakupki.fs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upki.fss.ru/" TargetMode="External"/><Relationship Id="rId14" Type="http://schemas.openxmlformats.org/officeDocument/2006/relationships/hyperlink" Target="http://zakupki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Мусалова Дина Сайгидамировна</dc:creator>
  <cp:keywords/>
  <dc:description/>
  <cp:lastModifiedBy>Могушков Заурбек Якубович</cp:lastModifiedBy>
  <cp:revision>48</cp:revision>
  <dcterms:created xsi:type="dcterms:W3CDTF">2022-11-24T03:54:00Z</dcterms:created>
  <dcterms:modified xsi:type="dcterms:W3CDTF">2022-12-19T11:59:00Z</dcterms:modified>
</cp:coreProperties>
</file>