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AB" w:rsidRPr="00B90B56" w:rsidRDefault="00C13CAB" w:rsidP="00C13CAB">
      <w:pPr>
        <w:rPr>
          <w:sz w:val="24"/>
          <w:szCs w:val="24"/>
        </w:rPr>
      </w:pPr>
    </w:p>
    <w:p w:rsidR="00C13CAB" w:rsidRPr="00C13CAB" w:rsidRDefault="00C13CAB" w:rsidP="00C13CA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right"/>
        <w:rPr>
          <w:b/>
          <w:bCs/>
          <w:i/>
          <w:sz w:val="24"/>
          <w:szCs w:val="24"/>
          <w:lang w:eastAsia="zh-CN"/>
        </w:rPr>
      </w:pPr>
      <w:r w:rsidRPr="00C13CAB">
        <w:rPr>
          <w:i/>
          <w:sz w:val="24"/>
          <w:szCs w:val="24"/>
          <w:lang w:eastAsia="zh-CN"/>
        </w:rPr>
        <w:t>Приложение № 1</w:t>
      </w:r>
    </w:p>
    <w:p w:rsidR="00C13CAB" w:rsidRDefault="00C13CAB" w:rsidP="00C13CAB">
      <w:pPr>
        <w:numPr>
          <w:ilvl w:val="0"/>
          <w:numId w:val="5"/>
        </w:num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C13CAB" w:rsidRPr="00C050B3" w:rsidRDefault="00C13CAB" w:rsidP="00C13CAB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2"/>
          <w:lang w:eastAsia="zh-CN"/>
        </w:rPr>
      </w:pPr>
      <w:r w:rsidRPr="00C050B3">
        <w:rPr>
          <w:rFonts w:ascii="Times New Roman" w:hAnsi="Times New Roman" w:cs="Times New Roman"/>
          <w:b/>
          <w:sz w:val="22"/>
          <w:lang w:eastAsia="zh-CN"/>
        </w:rPr>
        <w:t>Описание объекта закупки</w:t>
      </w:r>
    </w:p>
    <w:p w:rsidR="000502E5" w:rsidRPr="00C050B3" w:rsidRDefault="00A37609">
      <w:pPr>
        <w:spacing w:after="266"/>
        <w:jc w:val="center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b/>
          <w:sz w:val="22"/>
        </w:rPr>
        <w:t>на поставку технических средств реабилитации — слухо</w:t>
      </w:r>
      <w:r w:rsidR="00C13CAB" w:rsidRPr="00C050B3">
        <w:rPr>
          <w:rFonts w:ascii="Times New Roman" w:hAnsi="Times New Roman" w:cs="Times New Roman"/>
          <w:b/>
          <w:sz w:val="22"/>
        </w:rPr>
        <w:t>вых аппаратов в 2024 году.</w:t>
      </w:r>
    </w:p>
    <w:p w:rsidR="000502E5" w:rsidRPr="00C050B3" w:rsidRDefault="00A37609" w:rsidP="00C13CAB">
      <w:pPr>
        <w:spacing w:after="332" w:line="240" w:lineRule="auto"/>
        <w:ind w:left="-15" w:firstLine="708"/>
        <w:jc w:val="left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b/>
          <w:sz w:val="22"/>
        </w:rPr>
        <w:t>Предмет государственного контракта — поставка технических средств реабилитации</w:t>
      </w:r>
      <w:r w:rsidRPr="00C050B3">
        <w:rPr>
          <w:rFonts w:ascii="Times New Roman" w:hAnsi="Times New Roman" w:cs="Times New Roman"/>
          <w:sz w:val="22"/>
        </w:rPr>
        <w:t xml:space="preserve"> — слух</w:t>
      </w:r>
      <w:r w:rsidR="00C13CAB" w:rsidRPr="00C050B3">
        <w:rPr>
          <w:rFonts w:ascii="Times New Roman" w:hAnsi="Times New Roman" w:cs="Times New Roman"/>
          <w:sz w:val="22"/>
        </w:rPr>
        <w:t>овых аппаратов в 2024 году</w:t>
      </w:r>
      <w:r w:rsidRPr="00C050B3">
        <w:rPr>
          <w:rFonts w:ascii="Times New Roman" w:hAnsi="Times New Roman" w:cs="Times New Roman"/>
          <w:sz w:val="22"/>
        </w:rPr>
        <w:t>, в количестве 89 штук.</w:t>
      </w:r>
    </w:p>
    <w:tbl>
      <w:tblPr>
        <w:tblStyle w:val="TableGrid"/>
        <w:tblpPr w:vertAnchor="text" w:tblpX="-108" w:tblpY="495"/>
        <w:tblOverlap w:val="never"/>
        <w:tblW w:w="0" w:type="auto"/>
        <w:tblInd w:w="0" w:type="dxa"/>
        <w:tblCellMar>
          <w:top w:w="55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8642"/>
        <w:gridCol w:w="987"/>
      </w:tblGrid>
      <w:tr w:rsidR="000502E5" w:rsidRPr="00C050B3" w:rsidTr="00D06BD6">
        <w:trPr>
          <w:trHeight w:val="342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14" w:line="24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b/>
                <w:sz w:val="22"/>
              </w:rPr>
              <w:t xml:space="preserve">17-01-05 Слуховые аппараты заушные цифровые сверхмощные </w:t>
            </w:r>
            <w:r w:rsidRPr="00C050B3">
              <w:rPr>
                <w:rFonts w:ascii="Times New Roman" w:hAnsi="Times New Roman" w:cs="Times New Roman"/>
                <w:sz w:val="22"/>
              </w:rPr>
              <w:t>должны иметь диапазон частот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>н</w:t>
            </w:r>
            <w:r w:rsidRPr="00C050B3">
              <w:rPr>
                <w:rFonts w:ascii="Times New Roman" w:hAnsi="Times New Roman" w:cs="Times New Roman"/>
                <w:sz w:val="22"/>
              </w:rPr>
              <w:t>е уже 0,1 кГц - 7,1 кГц</w:t>
            </w:r>
          </w:p>
          <w:p w:rsidR="000502E5" w:rsidRPr="00C050B3" w:rsidRDefault="00A37609">
            <w:pPr>
              <w:spacing w:after="0" w:line="233" w:lineRule="auto"/>
              <w:ind w:left="0" w:right="233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количество каналов цифровой обработки звука- не менее 8-х программ прослушивания - не менее 2-х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следующие дополнительные параметры:</w:t>
            </w:r>
          </w:p>
          <w:p w:rsidR="000502E5" w:rsidRPr="00C050B3" w:rsidRDefault="00A3760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система направленных микрофонов с адаптивной направленностью;</w:t>
            </w:r>
          </w:p>
          <w:p w:rsidR="000502E5" w:rsidRPr="00C050B3" w:rsidRDefault="00A3760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динамическое подавление обратной связи;</w:t>
            </w:r>
          </w:p>
          <w:p w:rsidR="000502E5" w:rsidRPr="00C050B3" w:rsidRDefault="00A3760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адаптивное шумоподавление;</w:t>
            </w:r>
          </w:p>
          <w:p w:rsidR="000502E5" w:rsidRPr="00C050B3" w:rsidRDefault="00A37609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подавление шумов микрофона (тихих шумов). - адаптивная автоматическая регулировка усиления; - дневник регистрации данных.</w:t>
            </w:r>
          </w:p>
          <w:p w:rsidR="00D06BD6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Максимальный ВУЗД 90 слуховых аппаратов сверхмощных должен быть</w:t>
            </w:r>
            <w:r w:rsidR="00D06BD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>-</w:t>
            </w:r>
            <w:r w:rsidR="00D06BD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не менее 140 дБ 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Максимальное усиление должно быть - не менее 80 дБ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0502E5" w:rsidRPr="00C050B3" w:rsidTr="00D06BD6">
        <w:trPr>
          <w:trHeight w:val="30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36" w:lineRule="auto"/>
              <w:ind w:left="0" w:right="25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b/>
                <w:sz w:val="22"/>
              </w:rPr>
              <w:t>17-01-06 Слуховые аппараты заушные цифровые мощные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диапазон частот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>н</w:t>
            </w:r>
            <w:r w:rsidRPr="00C050B3">
              <w:rPr>
                <w:rFonts w:ascii="Times New Roman" w:hAnsi="Times New Roman" w:cs="Times New Roman"/>
                <w:sz w:val="22"/>
              </w:rPr>
              <w:t>е уже 0,1 - 6,1 кГц количество каналов цифровой обработки звука - не менее 6 программ прослушивания- не менее 3х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следующие дополнительные параметры:</w:t>
            </w:r>
          </w:p>
          <w:p w:rsidR="000502E5" w:rsidRPr="00C050B3" w:rsidRDefault="00A3760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система направленных микрофонов с адаптивной направленностью;</w:t>
            </w:r>
          </w:p>
          <w:p w:rsidR="000502E5" w:rsidRPr="00C050B3" w:rsidRDefault="00A3760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динамическое подавление обратной связи;</w:t>
            </w:r>
          </w:p>
          <w:p w:rsidR="000502E5" w:rsidRPr="00C050B3" w:rsidRDefault="00A3760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адаптивное шумоподавление;</w:t>
            </w:r>
          </w:p>
          <w:p w:rsidR="000502E5" w:rsidRPr="00C050B3" w:rsidRDefault="00A37609">
            <w:pPr>
              <w:numPr>
                <w:ilvl w:val="0"/>
                <w:numId w:val="2"/>
              </w:numPr>
              <w:spacing w:after="21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подавление шумов микрофона (тихих шумов). - адаптивная автоматическая регулировка усиления; - дневник регистрации данных.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Максимальный ВУЗД 90 слуховых аппаратов мощных должен быть- не менее 136 дБ Максимальное усиление- не менее 67 дБ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0502E5" w:rsidRPr="00C050B3" w:rsidTr="00D06BD6">
        <w:trPr>
          <w:trHeight w:val="17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31" w:lineRule="auto"/>
              <w:ind w:left="0" w:right="32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b/>
                <w:sz w:val="22"/>
              </w:rPr>
              <w:t>17-01-07 Слуховые аппараты цифровые заушные средней мощности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диапазон частот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>н</w:t>
            </w:r>
            <w:r w:rsidRPr="00C050B3">
              <w:rPr>
                <w:rFonts w:ascii="Times New Roman" w:hAnsi="Times New Roman" w:cs="Times New Roman"/>
                <w:sz w:val="22"/>
              </w:rPr>
              <w:t>е уже 0,1 - 6,2 кГц количество каналов цифровой обработки звука- не менее 6 программ прослушивания- не менее 3х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следующие дополнительные параметры:</w:t>
            </w:r>
          </w:p>
          <w:p w:rsidR="000502E5" w:rsidRDefault="00A37609">
            <w:pPr>
              <w:spacing w:after="0" w:line="259" w:lineRule="auto"/>
              <w:ind w:left="0" w:right="2349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- система направленных микрофонов с адаптивной направленностью; - динамическое подавление обратной связи;</w:t>
            </w:r>
          </w:p>
          <w:p w:rsidR="00D06BD6" w:rsidRPr="00C050B3" w:rsidRDefault="00D06BD6" w:rsidP="00D06BD6">
            <w:pPr>
              <w:numPr>
                <w:ilvl w:val="0"/>
                <w:numId w:val="3"/>
              </w:numPr>
              <w:spacing w:after="0" w:line="259" w:lineRule="auto"/>
              <w:ind w:right="404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адаптивное шумоподавление;</w:t>
            </w:r>
          </w:p>
          <w:p w:rsidR="00D06BD6" w:rsidRPr="00C050B3" w:rsidRDefault="00D06BD6" w:rsidP="00D06BD6">
            <w:pPr>
              <w:numPr>
                <w:ilvl w:val="0"/>
                <w:numId w:val="3"/>
              </w:numPr>
              <w:spacing w:after="21" w:line="240" w:lineRule="auto"/>
              <w:ind w:right="404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подавление шумов микрофона (тихих шумов). - адаптивная автоматическая регулировка усиления; - дневник регистрации данных.</w:t>
            </w:r>
          </w:p>
          <w:p w:rsidR="00D06BD6" w:rsidRDefault="00D06BD6" w:rsidP="00D06BD6">
            <w:pPr>
              <w:spacing w:after="0" w:line="259" w:lineRule="auto"/>
              <w:ind w:left="0" w:right="2349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 xml:space="preserve">Максимальный ВУЗД 90 слуховых аппаратов средней мощности должен быть- не менее 125 дБ </w:t>
            </w:r>
          </w:p>
          <w:p w:rsidR="00D06BD6" w:rsidRPr="00C050B3" w:rsidRDefault="00D06BD6" w:rsidP="00D06BD6">
            <w:pPr>
              <w:spacing w:after="0" w:line="259" w:lineRule="auto"/>
              <w:ind w:left="0" w:right="2349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Максимальное усиление - не менее 55 дБ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</w:tbl>
    <w:p w:rsidR="000502E5" w:rsidRPr="00C050B3" w:rsidRDefault="00A37609" w:rsidP="00D06BD6">
      <w:pPr>
        <w:spacing w:after="12"/>
        <w:jc w:val="center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b/>
          <w:sz w:val="22"/>
        </w:rPr>
        <w:t>Общие характеристикам</w:t>
      </w:r>
      <w:r w:rsidRPr="00C050B3">
        <w:rPr>
          <w:rFonts w:ascii="Times New Roman" w:hAnsi="Times New Roman" w:cs="Times New Roman"/>
          <w:sz w:val="22"/>
        </w:rPr>
        <w:br w:type="page"/>
      </w:r>
    </w:p>
    <w:tbl>
      <w:tblPr>
        <w:tblStyle w:val="TableGrid"/>
        <w:tblW w:w="9747" w:type="dxa"/>
        <w:tblInd w:w="-108" w:type="dxa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897"/>
        <w:gridCol w:w="850"/>
      </w:tblGrid>
      <w:tr w:rsidR="000502E5" w:rsidRPr="00C050B3">
        <w:trPr>
          <w:trHeight w:val="314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 w:rsidP="00C13C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b/>
                <w:sz w:val="22"/>
              </w:rPr>
              <w:t>17-01-08 Слуховые аппараты заушные слабой мощности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 должны иметь диапазон частот</w:t>
            </w:r>
            <w:r w:rsidR="00C13CAB" w:rsidRPr="00C050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>- не уже 0,1 - 7,7 кГц</w:t>
            </w:r>
          </w:p>
          <w:p w:rsidR="000502E5" w:rsidRPr="00C050B3" w:rsidRDefault="00A37609">
            <w:pPr>
              <w:spacing w:after="0" w:line="246" w:lineRule="auto"/>
              <w:ind w:left="0" w:right="2621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количество каналов цифровой обработки звука- не менее 8 программ прослушивания-не менее 4х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Должны иметь следующие дополнительные параметры:</w:t>
            </w:r>
          </w:p>
          <w:p w:rsidR="000502E5" w:rsidRPr="00C050B3" w:rsidRDefault="00A37609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система направленных микрофонов с адаптивной направленностью;</w:t>
            </w:r>
          </w:p>
          <w:p w:rsidR="000502E5" w:rsidRPr="00C050B3" w:rsidRDefault="00A37609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динамическое подавление обратной связи;</w:t>
            </w:r>
          </w:p>
          <w:p w:rsidR="000502E5" w:rsidRPr="00C050B3" w:rsidRDefault="00A37609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адаптивное шумоподавление;</w:t>
            </w:r>
          </w:p>
          <w:p w:rsidR="000502E5" w:rsidRPr="00C050B3" w:rsidRDefault="00A37609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подавление шумов микрофона (тихих шумов). - адаптивная автоматическая регулировка усиления; - дневник регистрации данных.</w:t>
            </w:r>
          </w:p>
          <w:p w:rsidR="00D06BD6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Максимальный ВУЗД 90 слуховых аппаратов слабой мощности должен быть</w:t>
            </w:r>
            <w:r w:rsidR="00D06BD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>-</w:t>
            </w:r>
            <w:r w:rsidR="00D06BD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50B3">
              <w:rPr>
                <w:rFonts w:ascii="Times New Roman" w:hAnsi="Times New Roman" w:cs="Times New Roman"/>
                <w:sz w:val="22"/>
              </w:rPr>
              <w:t xml:space="preserve">не менее 120 дБ </w:t>
            </w:r>
          </w:p>
          <w:p w:rsidR="000502E5" w:rsidRPr="00C050B3" w:rsidRDefault="00A3760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Максимальное усиление-не менее 51 дБ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5" w:rsidRPr="00C050B3" w:rsidRDefault="00A37609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050B3">
              <w:rPr>
                <w:rFonts w:ascii="Times New Roman" w:hAnsi="Times New Roman" w:cs="Times New Roman"/>
                <w:sz w:val="22"/>
              </w:rPr>
              <w:t>35</w:t>
            </w:r>
          </w:p>
        </w:tc>
      </w:tr>
    </w:tbl>
    <w:p w:rsidR="00D06BD6" w:rsidRDefault="00D06BD6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Технические характеристики к слуховым аппаратам (максимальный ВУЗД, максимальное усиление, диапазон частот, регулировки ТНЧ, АРУ, ТВЧ и другие) приводятся в соответствии со стандартом ГОСТ Р МЭК 60118-7-2013 (измерения для 2-х кубовой камеры).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Используемые типы элементов питания слуховых аппаратов (поставляются в комплекте): 675, 13, 312.</w:t>
      </w:r>
    </w:p>
    <w:p w:rsidR="000502E5" w:rsidRPr="00C050B3" w:rsidRDefault="00A37609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Требования к качеству товара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Слуховой аппарат должен быть технологически совершенным: самостоятельно (автоматически) адаптироваться к изменяющейся окружающей звуковой обстановке в самых сложных акустических условиях, обеспечивая максимальную разборчивость речи, в то же время сохраняя комфортное восприятие остальных звуков.</w:t>
      </w:r>
    </w:p>
    <w:p w:rsidR="000502E5" w:rsidRPr="00C050B3" w:rsidRDefault="00A37609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Требования к безопасности товара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Слуховые аппараты должны соответствовать требованиям стандартов: ГОСТ Р 50444-2020 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«Приборы, аппараты и оборудование медицинские. Общие технические условия», ГОСТ Р 51024-2012 «Аппараты слуховые электронные реабилитационные. Технические требования и методы испытаний», ГОСТ ISO 10993-1-2021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C050B3">
        <w:rPr>
          <w:rFonts w:ascii="Times New Roman" w:hAnsi="Times New Roman" w:cs="Times New Roman"/>
          <w:sz w:val="22"/>
        </w:rPr>
        <w:t>цитотоксичность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: методы </w:t>
      </w:r>
      <w:proofErr w:type="spellStart"/>
      <w:r w:rsidRPr="00C050B3">
        <w:rPr>
          <w:rFonts w:ascii="Times New Roman" w:hAnsi="Times New Roman" w:cs="Times New Roman"/>
          <w:sz w:val="22"/>
        </w:rPr>
        <w:t>in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050B3">
        <w:rPr>
          <w:rFonts w:ascii="Times New Roman" w:hAnsi="Times New Roman" w:cs="Times New Roman"/>
          <w:sz w:val="22"/>
        </w:rPr>
        <w:t>vitro</w:t>
      </w:r>
      <w:proofErr w:type="spellEnd"/>
      <w:r w:rsidRPr="00C050B3">
        <w:rPr>
          <w:rFonts w:ascii="Times New Roman" w:hAnsi="Times New Roman" w:cs="Times New Roman"/>
          <w:sz w:val="22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действия», ГОСТ ISO 10993-1-2021 «Изделия медицинские. Оценка биологического действия медицинских изделий. Часть 11. Исследования общетоксического действия», ГОСТ Р 52770-2016 «Изделия медицинские. Требования безопасности. Методы санитарно-химических и токсикологических испытаний».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Слуховой аппарат должен иметь — в целях безопасности — только самые необходимые внешние регуляторы и переключатели.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lastRenderedPageBreak/>
        <w:t>Он должен предотвращать возникновение свиста (так называемая обратная связь), во избежание излишней нагрузки на ухо.</w:t>
      </w:r>
    </w:p>
    <w:p w:rsidR="000502E5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Слуховые аппараты – изделия, подлежащие обязательной сертификации.</w:t>
      </w:r>
    </w:p>
    <w:p w:rsidR="00D06BD6" w:rsidRPr="00C050B3" w:rsidRDefault="00D06BD6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</w:p>
    <w:p w:rsidR="000502E5" w:rsidRPr="00C050B3" w:rsidRDefault="00A37609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Требования к сроку и (или) объему предоставленных гарантий качества слуховых аппаратов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Гарантийный срок эксплуатации должен быть не менее 12 месяцев. Срок гарантийного ремонта со дня обращения инвалида не должен превышать 30 рабочих дней.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Обеспечение возможности ремонта при обеспечении инвалидов слуховыми аппаратами осуществляется в соответствии с Федеральным законом от 07.02.1992 г. № 2300-1 «О защите прав потребителей».</w:t>
      </w:r>
    </w:p>
    <w:p w:rsidR="000502E5" w:rsidRPr="00C050B3" w:rsidRDefault="00A37609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Требования к комплектации, упаковке и отгрузке товара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Все слуховые аппараты поставляются в стандартной комплектации: слуховой аппарат -1 шт., вкладыши ушные стандартные - 2 шт., элементы питания – 2 шт., инструкция по эксплуатации на русском языке – 1 шт., футляр -1 шт., гарантийные талоны с указанием адреса и номера контактного телефона сервисной службы.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Транспортировка слуховых аппаратов должна осуществляться крытым транспортом всех видов, в том числе в отапливаемых герметизированных отсеках самолетов в соответствии с правилами перевозок, действующими на транспорте каждого вида, при температуре не ниже минус 40ºС, железнодорожным, автомобильным транспортом и иными способами.    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При отправке изделий в районы Крайнего Севера и труднодоступные районы упаковка, маркировка, транспортирование и хранение должны осуществляться в соответствии с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Хранение слуховых аппаратов должно осуществляться в упаковке изготовителя.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0502E5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Хранение должно осуществляться в соответствии с требованиями, предъявляемыми к данной категории товара.</w:t>
      </w:r>
    </w:p>
    <w:p w:rsidR="00C050B3" w:rsidRDefault="00C050B3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</w:p>
    <w:p w:rsidR="00C050B3" w:rsidRPr="00C050B3" w:rsidRDefault="00C050B3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Гарантии качества </w:t>
      </w:r>
    </w:p>
    <w:p w:rsidR="00C050B3" w:rsidRDefault="00C050B3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Гарантийный срок Товара составляет </w:t>
      </w:r>
      <w:r w:rsidRPr="00C050B3">
        <w:rPr>
          <w:rFonts w:ascii="Times New Roman" w:hAnsi="Times New Roman" w:cs="Times New Roman"/>
          <w:b/>
          <w:sz w:val="22"/>
        </w:rPr>
        <w:t>12</w:t>
      </w:r>
      <w:r w:rsidRPr="00C050B3">
        <w:rPr>
          <w:rFonts w:ascii="Times New Roman" w:hAnsi="Times New Roman" w:cs="Times New Roman"/>
          <w:sz w:val="22"/>
        </w:rPr>
        <w:t xml:space="preserve"> месяцев со дня подписания Получателем акта приема-передачи Товара. Установленный настоящим пунктом Контракта срок не распространяется на случаи нарушения Получателем условий и требований к эксплуатации Товара.</w:t>
      </w:r>
    </w:p>
    <w:p w:rsidR="00B823D1" w:rsidRPr="00C050B3" w:rsidRDefault="00B823D1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</w:p>
    <w:p w:rsidR="000502E5" w:rsidRPr="00C050B3" w:rsidRDefault="00A37609" w:rsidP="00D06BD6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Место, условия и сроки поставки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Поставка осуществляется по месту проживания Получателя или, по месту нахождения Поставщика (его Представителя) в Камчатском крае. Право выбора места получения Товара определяется самостоятельно Получателем.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Товар может быть передан представителю Получателя, имеющему соответствующие полномочия, подтвержденные документами.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Поставка Товара Получателям не должна превышать </w:t>
      </w:r>
      <w:r w:rsidR="00B823D1">
        <w:rPr>
          <w:rFonts w:ascii="Times New Roman" w:hAnsi="Times New Roman" w:cs="Times New Roman"/>
          <w:sz w:val="22"/>
        </w:rPr>
        <w:t>30</w:t>
      </w:r>
      <w:r w:rsidRPr="00C050B3">
        <w:rPr>
          <w:rFonts w:ascii="Times New Roman" w:hAnsi="Times New Roman" w:cs="Times New Roman"/>
          <w:sz w:val="22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>Товар может быть передан представителю Получателя, имеющему соответствующие полномочия, подтвержденные документами.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t xml:space="preserve">При передаче Получателю слухового аппарата обязательно должна производиться его настройка специалистом, имеющим лицензию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C050B3">
        <w:rPr>
          <w:rFonts w:ascii="Times New Roman" w:hAnsi="Times New Roman" w:cs="Times New Roman"/>
          <w:sz w:val="22"/>
        </w:rPr>
        <w:t>сурдологии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 – </w:t>
      </w:r>
      <w:proofErr w:type="spellStart"/>
      <w:r w:rsidRPr="00C050B3">
        <w:rPr>
          <w:rFonts w:ascii="Times New Roman" w:hAnsi="Times New Roman" w:cs="Times New Roman"/>
          <w:sz w:val="22"/>
        </w:rPr>
        <w:t>оториноларингогологии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   или осуществление деятельности по </w:t>
      </w:r>
      <w:proofErr w:type="spellStart"/>
      <w:r w:rsidRPr="00C050B3">
        <w:rPr>
          <w:rFonts w:ascii="Times New Roman" w:hAnsi="Times New Roman" w:cs="Times New Roman"/>
          <w:sz w:val="22"/>
        </w:rPr>
        <w:t>слухопротезированию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 в соответствии с профессиональным стандартом «Специалист в области </w:t>
      </w:r>
      <w:proofErr w:type="spellStart"/>
      <w:r w:rsidRPr="00C050B3">
        <w:rPr>
          <w:rFonts w:ascii="Times New Roman" w:hAnsi="Times New Roman" w:cs="Times New Roman"/>
          <w:sz w:val="22"/>
        </w:rPr>
        <w:t>слухопротезирования</w:t>
      </w:r>
      <w:proofErr w:type="spellEnd"/>
      <w:r w:rsidRPr="00C050B3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C050B3">
        <w:rPr>
          <w:rFonts w:ascii="Times New Roman" w:hAnsi="Times New Roman" w:cs="Times New Roman"/>
          <w:sz w:val="22"/>
        </w:rPr>
        <w:t>сурдоакустик</w:t>
      </w:r>
      <w:proofErr w:type="spellEnd"/>
      <w:r w:rsidRPr="00C050B3">
        <w:rPr>
          <w:rFonts w:ascii="Times New Roman" w:hAnsi="Times New Roman" w:cs="Times New Roman"/>
          <w:sz w:val="22"/>
        </w:rPr>
        <w:t>)». Поставщик обязан разъяснить Получателю условия и требования к эксплуатации товара, а также представить инструкцию или правила эффективного и безопасного использования на русском языке.</w:t>
      </w:r>
    </w:p>
    <w:p w:rsidR="000502E5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sz w:val="22"/>
        </w:rPr>
        <w:lastRenderedPageBreak/>
        <w:t>В случае, если Поставщик поставил Товар, характеристики которого не соответствуют требованию Технического задания, то Товар должен быть заменен на товар с соответствующими техническими характеристиками, установленными контрактом. Замена производится в пределах срока поставки товара, и не может выходить за рамки действия контракта.</w:t>
      </w:r>
    </w:p>
    <w:p w:rsidR="009B4552" w:rsidRPr="00C050B3" w:rsidRDefault="009B4552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</w:p>
    <w:p w:rsidR="008016D8" w:rsidRPr="00C050B3" w:rsidRDefault="00A37609" w:rsidP="008016D8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C050B3">
        <w:rPr>
          <w:rFonts w:ascii="Times New Roman" w:hAnsi="Times New Roman" w:cs="Times New Roman"/>
          <w:b/>
          <w:sz w:val="22"/>
        </w:rPr>
        <w:t>Срок поставки Товара в Камчатский край</w:t>
      </w:r>
      <w:r w:rsidRPr="00C050B3">
        <w:rPr>
          <w:rFonts w:ascii="Times New Roman" w:hAnsi="Times New Roman" w:cs="Times New Roman"/>
          <w:sz w:val="22"/>
        </w:rPr>
        <w:t xml:space="preserve"> не более </w:t>
      </w:r>
      <w:r w:rsidRPr="00C050B3">
        <w:rPr>
          <w:rFonts w:ascii="Times New Roman" w:hAnsi="Times New Roman" w:cs="Times New Roman"/>
          <w:b/>
          <w:sz w:val="22"/>
        </w:rPr>
        <w:t>45 календарных дней</w:t>
      </w:r>
      <w:r w:rsidRPr="00C050B3">
        <w:rPr>
          <w:rFonts w:ascii="Times New Roman" w:hAnsi="Times New Roman" w:cs="Times New Roman"/>
          <w:sz w:val="22"/>
        </w:rPr>
        <w:t xml:space="preserve"> со дня заключения государственного контракта. Срок поставки Товара с даты получения от Заказчика реестра получателей Товара </w:t>
      </w:r>
      <w:r w:rsidRPr="00C050B3">
        <w:rPr>
          <w:rFonts w:ascii="Times New Roman" w:hAnsi="Times New Roman" w:cs="Times New Roman"/>
          <w:b/>
          <w:sz w:val="22"/>
        </w:rPr>
        <w:t xml:space="preserve">до </w:t>
      </w:r>
      <w:r w:rsidR="008016D8" w:rsidRPr="00C050B3">
        <w:rPr>
          <w:rFonts w:ascii="Times New Roman" w:hAnsi="Times New Roman" w:cs="Times New Roman"/>
          <w:b/>
          <w:sz w:val="22"/>
        </w:rPr>
        <w:t>"</w:t>
      </w:r>
      <w:r w:rsidR="008016D8" w:rsidRPr="00C050B3">
        <w:rPr>
          <w:rFonts w:ascii="Times New Roman" w:hAnsi="Times New Roman" w:cs="Times New Roman"/>
          <w:b/>
          <w:sz w:val="22"/>
          <w:u w:val="single" w:color="000000"/>
        </w:rPr>
        <w:t>01</w:t>
      </w:r>
      <w:r w:rsidR="008016D8" w:rsidRPr="00C050B3">
        <w:rPr>
          <w:rFonts w:ascii="Times New Roman" w:hAnsi="Times New Roman" w:cs="Times New Roman"/>
          <w:b/>
          <w:sz w:val="22"/>
        </w:rPr>
        <w:t>" августа 2024 года.</w:t>
      </w:r>
    </w:p>
    <w:p w:rsidR="000502E5" w:rsidRPr="00C050B3" w:rsidRDefault="00A37609" w:rsidP="00D06BD6">
      <w:pPr>
        <w:spacing w:after="0" w:line="240" w:lineRule="auto"/>
        <w:ind w:left="0" w:firstLine="567"/>
        <w:rPr>
          <w:rFonts w:ascii="Times New Roman" w:hAnsi="Times New Roman" w:cs="Times New Roman"/>
          <w:sz w:val="22"/>
        </w:rPr>
      </w:pPr>
      <w:r w:rsidRPr="009B4552">
        <w:rPr>
          <w:rFonts w:ascii="Times New Roman" w:hAnsi="Times New Roman" w:cs="Times New Roman"/>
          <w:b/>
          <w:sz w:val="22"/>
        </w:rPr>
        <w:t>Срок поставки Товара</w:t>
      </w:r>
      <w:r w:rsidR="009B4552" w:rsidRPr="009B4552">
        <w:rPr>
          <w:rFonts w:ascii="Times New Roman" w:hAnsi="Times New Roman" w:cs="Times New Roman"/>
          <w:b/>
          <w:sz w:val="22"/>
        </w:rPr>
        <w:t xml:space="preserve"> до получателя</w:t>
      </w:r>
      <w:r w:rsidRPr="009B4552">
        <w:rPr>
          <w:rFonts w:ascii="Times New Roman" w:hAnsi="Times New Roman" w:cs="Times New Roman"/>
          <w:b/>
          <w:sz w:val="22"/>
        </w:rPr>
        <w:t>:</w:t>
      </w:r>
      <w:r w:rsidRPr="00C050B3">
        <w:rPr>
          <w:rFonts w:ascii="Times New Roman" w:hAnsi="Times New Roman" w:cs="Times New Roman"/>
          <w:sz w:val="22"/>
        </w:rPr>
        <w:t xml:space="preserve"> с даты получения от Заказчика реестра получателей Товара (в соответствии с приложением Контракта) </w:t>
      </w:r>
      <w:r w:rsidRPr="00C050B3">
        <w:rPr>
          <w:rFonts w:ascii="Times New Roman" w:hAnsi="Times New Roman" w:cs="Times New Roman"/>
          <w:b/>
          <w:sz w:val="22"/>
        </w:rPr>
        <w:t>до "</w:t>
      </w:r>
      <w:r w:rsidRPr="00C050B3">
        <w:rPr>
          <w:rFonts w:ascii="Times New Roman" w:hAnsi="Times New Roman" w:cs="Times New Roman"/>
          <w:b/>
          <w:sz w:val="22"/>
          <w:u w:val="single" w:color="000000"/>
        </w:rPr>
        <w:t>01</w:t>
      </w:r>
      <w:r w:rsidRPr="00C050B3">
        <w:rPr>
          <w:rFonts w:ascii="Times New Roman" w:hAnsi="Times New Roman" w:cs="Times New Roman"/>
          <w:b/>
          <w:sz w:val="22"/>
        </w:rPr>
        <w:t>" августа</w:t>
      </w:r>
      <w:bookmarkStart w:id="0" w:name="_GoBack"/>
      <w:r w:rsidRPr="00C050B3">
        <w:rPr>
          <w:rFonts w:ascii="Times New Roman" w:hAnsi="Times New Roman" w:cs="Times New Roman"/>
          <w:b/>
          <w:sz w:val="22"/>
        </w:rPr>
        <w:t xml:space="preserve"> </w:t>
      </w:r>
      <w:bookmarkEnd w:id="0"/>
      <w:r w:rsidRPr="00C050B3">
        <w:rPr>
          <w:rFonts w:ascii="Times New Roman" w:hAnsi="Times New Roman" w:cs="Times New Roman"/>
          <w:b/>
          <w:sz w:val="22"/>
        </w:rPr>
        <w:t>2024 года.</w:t>
      </w:r>
    </w:p>
    <w:sectPr w:rsidR="000502E5" w:rsidRPr="00C050B3" w:rsidSect="00D06BD6">
      <w:pgSz w:w="11906" w:h="16838"/>
      <w:pgMar w:top="867" w:right="850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293483"/>
    <w:multiLevelType w:val="hybridMultilevel"/>
    <w:tmpl w:val="695C65B4"/>
    <w:lvl w:ilvl="0" w:tplc="4380E462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A0BD30">
      <w:start w:val="1"/>
      <w:numFmt w:val="bullet"/>
      <w:lvlText w:val="o"/>
      <w:lvlJc w:val="left"/>
      <w:pPr>
        <w:ind w:left="1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284E4">
      <w:start w:val="1"/>
      <w:numFmt w:val="bullet"/>
      <w:lvlText w:val="▪"/>
      <w:lvlJc w:val="left"/>
      <w:pPr>
        <w:ind w:left="19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2A1E9E">
      <w:start w:val="1"/>
      <w:numFmt w:val="bullet"/>
      <w:lvlText w:val="•"/>
      <w:lvlJc w:val="left"/>
      <w:pPr>
        <w:ind w:left="26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12BA28">
      <w:start w:val="1"/>
      <w:numFmt w:val="bullet"/>
      <w:lvlText w:val="o"/>
      <w:lvlJc w:val="left"/>
      <w:pPr>
        <w:ind w:left="33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1EBB6C">
      <w:start w:val="1"/>
      <w:numFmt w:val="bullet"/>
      <w:lvlText w:val="▪"/>
      <w:lvlJc w:val="left"/>
      <w:pPr>
        <w:ind w:left="40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76AB8E">
      <w:start w:val="1"/>
      <w:numFmt w:val="bullet"/>
      <w:lvlText w:val="•"/>
      <w:lvlJc w:val="left"/>
      <w:pPr>
        <w:ind w:left="4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6E3FFA">
      <w:start w:val="1"/>
      <w:numFmt w:val="bullet"/>
      <w:lvlText w:val="o"/>
      <w:lvlJc w:val="left"/>
      <w:pPr>
        <w:ind w:left="5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0C1482">
      <w:start w:val="1"/>
      <w:numFmt w:val="bullet"/>
      <w:lvlText w:val="▪"/>
      <w:lvlJc w:val="left"/>
      <w:pPr>
        <w:ind w:left="6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02673"/>
    <w:multiLevelType w:val="hybridMultilevel"/>
    <w:tmpl w:val="9D9863DC"/>
    <w:lvl w:ilvl="0" w:tplc="61A08C7E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16D216">
      <w:start w:val="1"/>
      <w:numFmt w:val="bullet"/>
      <w:lvlText w:val="o"/>
      <w:lvlJc w:val="left"/>
      <w:pPr>
        <w:ind w:left="1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CCC2F6">
      <w:start w:val="1"/>
      <w:numFmt w:val="bullet"/>
      <w:lvlText w:val="▪"/>
      <w:lvlJc w:val="left"/>
      <w:pPr>
        <w:ind w:left="19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ED4B8">
      <w:start w:val="1"/>
      <w:numFmt w:val="bullet"/>
      <w:lvlText w:val="•"/>
      <w:lvlJc w:val="left"/>
      <w:pPr>
        <w:ind w:left="26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A0974">
      <w:start w:val="1"/>
      <w:numFmt w:val="bullet"/>
      <w:lvlText w:val="o"/>
      <w:lvlJc w:val="left"/>
      <w:pPr>
        <w:ind w:left="33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2B960">
      <w:start w:val="1"/>
      <w:numFmt w:val="bullet"/>
      <w:lvlText w:val="▪"/>
      <w:lvlJc w:val="left"/>
      <w:pPr>
        <w:ind w:left="40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7E66C4">
      <w:start w:val="1"/>
      <w:numFmt w:val="bullet"/>
      <w:lvlText w:val="•"/>
      <w:lvlJc w:val="left"/>
      <w:pPr>
        <w:ind w:left="4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AEBBB8">
      <w:start w:val="1"/>
      <w:numFmt w:val="bullet"/>
      <w:lvlText w:val="o"/>
      <w:lvlJc w:val="left"/>
      <w:pPr>
        <w:ind w:left="5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C8C2C2">
      <w:start w:val="1"/>
      <w:numFmt w:val="bullet"/>
      <w:lvlText w:val="▪"/>
      <w:lvlJc w:val="left"/>
      <w:pPr>
        <w:ind w:left="6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43276A"/>
    <w:multiLevelType w:val="hybridMultilevel"/>
    <w:tmpl w:val="A0F2F4E0"/>
    <w:lvl w:ilvl="0" w:tplc="BFC43314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32C0D2">
      <w:start w:val="1"/>
      <w:numFmt w:val="bullet"/>
      <w:lvlText w:val="o"/>
      <w:lvlJc w:val="left"/>
      <w:pPr>
        <w:ind w:left="1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36511A">
      <w:start w:val="1"/>
      <w:numFmt w:val="bullet"/>
      <w:lvlText w:val="▪"/>
      <w:lvlJc w:val="left"/>
      <w:pPr>
        <w:ind w:left="19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B43660">
      <w:start w:val="1"/>
      <w:numFmt w:val="bullet"/>
      <w:lvlText w:val="•"/>
      <w:lvlJc w:val="left"/>
      <w:pPr>
        <w:ind w:left="26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E01258">
      <w:start w:val="1"/>
      <w:numFmt w:val="bullet"/>
      <w:lvlText w:val="o"/>
      <w:lvlJc w:val="left"/>
      <w:pPr>
        <w:ind w:left="33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327738">
      <w:start w:val="1"/>
      <w:numFmt w:val="bullet"/>
      <w:lvlText w:val="▪"/>
      <w:lvlJc w:val="left"/>
      <w:pPr>
        <w:ind w:left="40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CC347E">
      <w:start w:val="1"/>
      <w:numFmt w:val="bullet"/>
      <w:lvlText w:val="•"/>
      <w:lvlJc w:val="left"/>
      <w:pPr>
        <w:ind w:left="4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96F116">
      <w:start w:val="1"/>
      <w:numFmt w:val="bullet"/>
      <w:lvlText w:val="o"/>
      <w:lvlJc w:val="left"/>
      <w:pPr>
        <w:ind w:left="5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92BC32">
      <w:start w:val="1"/>
      <w:numFmt w:val="bullet"/>
      <w:lvlText w:val="▪"/>
      <w:lvlJc w:val="left"/>
      <w:pPr>
        <w:ind w:left="6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71555"/>
    <w:multiLevelType w:val="hybridMultilevel"/>
    <w:tmpl w:val="46A205AE"/>
    <w:lvl w:ilvl="0" w:tplc="3FA0615C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0692A">
      <w:start w:val="1"/>
      <w:numFmt w:val="bullet"/>
      <w:lvlText w:val="o"/>
      <w:lvlJc w:val="left"/>
      <w:pPr>
        <w:ind w:left="1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7C8014">
      <w:start w:val="1"/>
      <w:numFmt w:val="bullet"/>
      <w:lvlText w:val="▪"/>
      <w:lvlJc w:val="left"/>
      <w:pPr>
        <w:ind w:left="19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06BB8">
      <w:start w:val="1"/>
      <w:numFmt w:val="bullet"/>
      <w:lvlText w:val="•"/>
      <w:lvlJc w:val="left"/>
      <w:pPr>
        <w:ind w:left="26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2E4876">
      <w:start w:val="1"/>
      <w:numFmt w:val="bullet"/>
      <w:lvlText w:val="o"/>
      <w:lvlJc w:val="left"/>
      <w:pPr>
        <w:ind w:left="33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DAB19E">
      <w:start w:val="1"/>
      <w:numFmt w:val="bullet"/>
      <w:lvlText w:val="▪"/>
      <w:lvlJc w:val="left"/>
      <w:pPr>
        <w:ind w:left="40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3672F4">
      <w:start w:val="1"/>
      <w:numFmt w:val="bullet"/>
      <w:lvlText w:val="•"/>
      <w:lvlJc w:val="left"/>
      <w:pPr>
        <w:ind w:left="4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E61180">
      <w:start w:val="1"/>
      <w:numFmt w:val="bullet"/>
      <w:lvlText w:val="o"/>
      <w:lvlJc w:val="left"/>
      <w:pPr>
        <w:ind w:left="5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24182">
      <w:start w:val="1"/>
      <w:numFmt w:val="bullet"/>
      <w:lvlText w:val="▪"/>
      <w:lvlJc w:val="left"/>
      <w:pPr>
        <w:ind w:left="6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5"/>
    <w:rsid w:val="000502E5"/>
    <w:rsid w:val="003B6C0A"/>
    <w:rsid w:val="00685AA2"/>
    <w:rsid w:val="008016D8"/>
    <w:rsid w:val="009B4552"/>
    <w:rsid w:val="00A37609"/>
    <w:rsid w:val="00B823D1"/>
    <w:rsid w:val="00C050B3"/>
    <w:rsid w:val="00C13CAB"/>
    <w:rsid w:val="00D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98E0C-01FE-4082-A312-7E5C2E4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Liberation Serif" w:eastAsia="Liberation Serif" w:hAnsi="Liberation Serif" w:cs="Liberation Serif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0" w:lineRule="auto"/>
      <w:ind w:left="10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"/>
    <w:basedOn w:val="a"/>
    <w:rsid w:val="00C13CAB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1366</Words>
  <Characters>7792</Characters>
  <Application>Microsoft Office Word</Application>
  <DocSecurity>0</DocSecurity>
  <Lines>64</Lines>
  <Paragraphs>18</Paragraphs>
  <ScaleCrop>false</ScaleCrop>
  <Company>ГУ - Камчатское РО ФСС РФ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User</dc:creator>
  <cp:keywords/>
  <cp:lastModifiedBy>Гаврилова Светлана Викторовна</cp:lastModifiedBy>
  <cp:revision>10</cp:revision>
  <dcterms:created xsi:type="dcterms:W3CDTF">2023-11-13T05:01:00Z</dcterms:created>
  <dcterms:modified xsi:type="dcterms:W3CDTF">2023-11-30T05:45:00Z</dcterms:modified>
</cp:coreProperties>
</file>