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Pr="009B63B2" w:rsidRDefault="00D7115C" w:rsidP="00D7115C">
      <w:pPr>
        <w:jc w:val="center"/>
        <w:rPr>
          <w:b/>
        </w:rPr>
      </w:pPr>
      <w:r w:rsidRPr="009B63B2">
        <w:rPr>
          <w:b/>
          <w:bCs/>
        </w:rPr>
        <w:t xml:space="preserve">Ш. </w:t>
      </w:r>
      <w:r w:rsidRPr="009B63B2">
        <w:rPr>
          <w:b/>
        </w:rPr>
        <w:t>ОПИСАНИЕ ОБЪЕКТА ЗАКУПКИ</w:t>
      </w:r>
    </w:p>
    <w:p w:rsidR="00E35808" w:rsidRPr="009B63B2" w:rsidRDefault="00E35808" w:rsidP="009226AD">
      <w:pPr>
        <w:jc w:val="both"/>
        <w:rPr>
          <w:b/>
        </w:rPr>
      </w:pPr>
    </w:p>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С даты получения от Заказчика реестра получателей Товара по «</w:t>
      </w:r>
      <w:r w:rsidR="00450CFE" w:rsidRPr="00632245">
        <w:rPr>
          <w:rFonts w:eastAsia="Andale Sans UI"/>
          <w:kern w:val="1"/>
          <w:lang w:eastAsia="ar-SA"/>
        </w:rPr>
        <w:t>30</w:t>
      </w:r>
      <w:r w:rsidR="00427C62" w:rsidRPr="00632245">
        <w:rPr>
          <w:rFonts w:eastAsia="Andale Sans UI"/>
          <w:kern w:val="1"/>
          <w:lang w:eastAsia="ar-SA"/>
        </w:rPr>
        <w:t xml:space="preserve">» </w:t>
      </w:r>
      <w:r w:rsidR="00240B28">
        <w:rPr>
          <w:rFonts w:eastAsia="Andale Sans UI"/>
          <w:kern w:val="1"/>
          <w:lang w:eastAsia="ar-SA"/>
        </w:rPr>
        <w:t>сентября</w:t>
      </w:r>
      <w:r w:rsidR="00427C62" w:rsidRPr="00632245">
        <w:rPr>
          <w:rFonts w:eastAsia="Andale Sans UI"/>
          <w:kern w:val="1"/>
          <w:lang w:eastAsia="ar-SA"/>
        </w:rPr>
        <w:t xml:space="preserve"> 202</w:t>
      </w:r>
      <w:r w:rsidR="00240B28">
        <w:rPr>
          <w:rFonts w:eastAsia="Andale Sans UI"/>
          <w:kern w:val="1"/>
          <w:lang w:eastAsia="ar-SA"/>
        </w:rPr>
        <w:t>2</w:t>
      </w:r>
      <w:r w:rsidR="00427C62" w:rsidRPr="00632245">
        <w:rPr>
          <w:rFonts w:eastAsia="Andale Sans UI"/>
          <w:kern w:val="1"/>
          <w:lang w:eastAsia="ar-SA"/>
        </w:rPr>
        <w:t xml:space="preserve"> 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31"/>
        <w:gridCol w:w="1947"/>
        <w:gridCol w:w="1817"/>
        <w:gridCol w:w="2414"/>
        <w:gridCol w:w="579"/>
        <w:gridCol w:w="867"/>
      </w:tblGrid>
      <w:tr w:rsidR="00C5232D" w:rsidRPr="00C5232D" w:rsidTr="00257415">
        <w:trPr>
          <w:trHeight w:val="512"/>
        </w:trPr>
        <w:tc>
          <w:tcPr>
            <w:tcW w:w="265" w:type="pct"/>
            <w:vMerge w:val="restart"/>
            <w:vAlign w:val="center"/>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w:t>
            </w:r>
          </w:p>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п/п</w:t>
            </w:r>
          </w:p>
        </w:tc>
        <w:tc>
          <w:tcPr>
            <w:tcW w:w="996" w:type="pct"/>
            <w:vMerge w:val="restart"/>
            <w:vAlign w:val="center"/>
          </w:tcPr>
          <w:p w:rsidR="00C5232D" w:rsidRPr="00C5232D" w:rsidRDefault="00C5232D" w:rsidP="00C5232D">
            <w:pPr>
              <w:widowControl w:val="0"/>
              <w:suppressAutoHyphens/>
              <w:jc w:val="center"/>
              <w:rPr>
                <w:color w:val="000000"/>
                <w:sz w:val="20"/>
                <w:szCs w:val="20"/>
                <w:lang w:eastAsia="en-US" w:bidi="en-US"/>
              </w:rPr>
            </w:pPr>
            <w:r w:rsidRPr="00C5232D">
              <w:rPr>
                <w:color w:val="000000"/>
                <w:sz w:val="20"/>
                <w:szCs w:val="20"/>
                <w:lang w:eastAsia="en-US" w:bidi="en-US"/>
              </w:rPr>
              <w:t xml:space="preserve">Наименование </w:t>
            </w:r>
          </w:p>
        </w:tc>
        <w:tc>
          <w:tcPr>
            <w:tcW w:w="3030" w:type="pct"/>
            <w:gridSpan w:val="3"/>
            <w:vAlign w:val="center"/>
          </w:tcPr>
          <w:p w:rsidR="00C5232D" w:rsidRPr="00C5232D" w:rsidRDefault="00C5232D" w:rsidP="009B604D">
            <w:pPr>
              <w:widowControl w:val="0"/>
              <w:suppressAutoHyphens/>
              <w:jc w:val="center"/>
              <w:rPr>
                <w:color w:val="000000"/>
                <w:sz w:val="20"/>
                <w:szCs w:val="20"/>
                <w:lang w:eastAsia="en-US" w:bidi="en-US"/>
              </w:rPr>
            </w:pPr>
            <w:r w:rsidRPr="00C5232D">
              <w:rPr>
                <w:sz w:val="20"/>
                <w:szCs w:val="20"/>
              </w:rPr>
              <w:t>Описание (характеристики) объекта закупки Описание (характеристики) объекта закупки</w:t>
            </w:r>
            <w:r w:rsidRPr="00C5232D">
              <w:rPr>
                <w:sz w:val="20"/>
                <w:szCs w:val="20"/>
                <w:vertAlign w:val="superscript"/>
              </w:rPr>
              <w:footnoteReference w:id="1"/>
            </w:r>
          </w:p>
          <w:p w:rsidR="00C5232D" w:rsidRPr="00C5232D" w:rsidRDefault="00C5232D" w:rsidP="009B604D">
            <w:pPr>
              <w:widowControl w:val="0"/>
              <w:suppressAutoHyphens/>
              <w:jc w:val="center"/>
              <w:rPr>
                <w:color w:val="000000"/>
                <w:sz w:val="20"/>
                <w:szCs w:val="20"/>
                <w:lang w:eastAsia="en-US" w:bidi="en-US"/>
              </w:rPr>
            </w:pPr>
          </w:p>
        </w:tc>
        <w:tc>
          <w:tcPr>
            <w:tcW w:w="284" w:type="pct"/>
            <w:vMerge w:val="restart"/>
            <w:vAlign w:val="center"/>
          </w:tcPr>
          <w:p w:rsidR="00C5232D" w:rsidRPr="00C5232D" w:rsidRDefault="00C5232D" w:rsidP="009B604D">
            <w:pPr>
              <w:widowControl w:val="0"/>
              <w:suppressAutoHyphens/>
              <w:autoSpaceDE w:val="0"/>
              <w:autoSpaceDN w:val="0"/>
              <w:adjustRightInd w:val="0"/>
              <w:jc w:val="center"/>
              <w:rPr>
                <w:color w:val="000000"/>
                <w:sz w:val="20"/>
                <w:szCs w:val="20"/>
                <w:lang w:val="en-US" w:eastAsia="en-US" w:bidi="en-US"/>
              </w:rPr>
            </w:pPr>
            <w:proofErr w:type="spellStart"/>
            <w:r w:rsidRPr="00C5232D">
              <w:rPr>
                <w:color w:val="000000"/>
                <w:sz w:val="20"/>
                <w:szCs w:val="20"/>
                <w:lang w:val="en-US" w:eastAsia="en-US" w:bidi="en-US"/>
              </w:rPr>
              <w:t>Ед</w:t>
            </w:r>
            <w:proofErr w:type="spellEnd"/>
            <w:r w:rsidRPr="00C5232D">
              <w:rPr>
                <w:color w:val="000000"/>
                <w:sz w:val="20"/>
                <w:szCs w:val="20"/>
                <w:lang w:val="en-US" w:eastAsia="en-US" w:bidi="en-US"/>
              </w:rPr>
              <w:t xml:space="preserve">. </w:t>
            </w:r>
            <w:proofErr w:type="spellStart"/>
            <w:r w:rsidRPr="00C5232D">
              <w:rPr>
                <w:color w:val="000000"/>
                <w:sz w:val="20"/>
                <w:szCs w:val="20"/>
                <w:lang w:val="en-US" w:eastAsia="en-US" w:bidi="en-US"/>
              </w:rPr>
              <w:t>изм</w:t>
            </w:r>
            <w:proofErr w:type="spellEnd"/>
            <w:r w:rsidRPr="00C5232D">
              <w:rPr>
                <w:color w:val="000000"/>
                <w:sz w:val="20"/>
                <w:szCs w:val="20"/>
                <w:lang w:val="en-US" w:eastAsia="en-US" w:bidi="en-US"/>
              </w:rPr>
              <w:t>.</w:t>
            </w:r>
          </w:p>
        </w:tc>
        <w:tc>
          <w:tcPr>
            <w:tcW w:w="425" w:type="pct"/>
            <w:vMerge w:val="restart"/>
          </w:tcPr>
          <w:p w:rsidR="00C5232D" w:rsidRPr="00C5232D" w:rsidRDefault="00C5232D" w:rsidP="009B604D">
            <w:pPr>
              <w:widowControl w:val="0"/>
              <w:suppressAutoHyphens/>
              <w:jc w:val="center"/>
              <w:rPr>
                <w:color w:val="000000"/>
                <w:sz w:val="20"/>
                <w:szCs w:val="20"/>
                <w:lang w:eastAsia="en-US" w:bidi="en-US"/>
              </w:rPr>
            </w:pPr>
          </w:p>
          <w:p w:rsidR="00C5232D" w:rsidRPr="00C5232D" w:rsidRDefault="00C5232D" w:rsidP="009B604D">
            <w:pPr>
              <w:widowControl w:val="0"/>
              <w:suppressAutoHyphens/>
              <w:jc w:val="center"/>
              <w:rPr>
                <w:color w:val="000000"/>
                <w:sz w:val="20"/>
                <w:szCs w:val="20"/>
                <w:lang w:eastAsia="en-US" w:bidi="en-US"/>
              </w:rPr>
            </w:pPr>
          </w:p>
          <w:p w:rsidR="00C5232D" w:rsidRPr="00C5232D" w:rsidRDefault="00C5232D" w:rsidP="009B604D">
            <w:pPr>
              <w:widowControl w:val="0"/>
              <w:suppressAutoHyphens/>
              <w:jc w:val="center"/>
              <w:rPr>
                <w:color w:val="000000"/>
                <w:sz w:val="20"/>
                <w:szCs w:val="20"/>
                <w:lang w:eastAsia="en-US" w:bidi="en-US"/>
              </w:rPr>
            </w:pPr>
          </w:p>
          <w:p w:rsidR="00C5232D" w:rsidRPr="00C5232D" w:rsidRDefault="00C5232D" w:rsidP="009B604D">
            <w:pPr>
              <w:widowControl w:val="0"/>
              <w:suppressAutoHyphens/>
              <w:jc w:val="center"/>
              <w:rPr>
                <w:color w:val="000000"/>
                <w:sz w:val="20"/>
                <w:szCs w:val="20"/>
                <w:lang w:eastAsia="en-US" w:bidi="en-US"/>
              </w:rPr>
            </w:pPr>
          </w:p>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Кол-во</w:t>
            </w:r>
          </w:p>
        </w:tc>
      </w:tr>
      <w:tr w:rsidR="00C5232D" w:rsidRPr="00C5232D" w:rsidTr="00257415">
        <w:trPr>
          <w:cantSplit/>
          <w:trHeight w:val="1500"/>
        </w:trPr>
        <w:tc>
          <w:tcPr>
            <w:tcW w:w="265" w:type="pct"/>
            <w:vMerge/>
            <w:vAlign w:val="center"/>
          </w:tcPr>
          <w:p w:rsidR="00C5232D" w:rsidRPr="00C5232D" w:rsidRDefault="00C5232D" w:rsidP="00C5232D">
            <w:pPr>
              <w:widowControl w:val="0"/>
              <w:suppressAutoHyphens/>
              <w:jc w:val="center"/>
              <w:rPr>
                <w:color w:val="000000"/>
                <w:sz w:val="20"/>
                <w:szCs w:val="20"/>
                <w:lang w:eastAsia="en-US" w:bidi="en-US"/>
              </w:rPr>
            </w:pPr>
          </w:p>
        </w:tc>
        <w:tc>
          <w:tcPr>
            <w:tcW w:w="996" w:type="pct"/>
            <w:vMerge/>
            <w:vAlign w:val="center"/>
          </w:tcPr>
          <w:p w:rsidR="00C5232D" w:rsidRPr="00C5232D" w:rsidRDefault="00C5232D" w:rsidP="00C5232D">
            <w:pPr>
              <w:widowControl w:val="0"/>
              <w:suppressAutoHyphens/>
              <w:jc w:val="center"/>
              <w:rPr>
                <w:color w:val="000000"/>
                <w:sz w:val="20"/>
                <w:szCs w:val="20"/>
                <w:lang w:eastAsia="en-US" w:bidi="en-US"/>
              </w:rPr>
            </w:pPr>
          </w:p>
        </w:tc>
        <w:tc>
          <w:tcPr>
            <w:tcW w:w="955" w:type="pct"/>
            <w:vAlign w:val="center"/>
          </w:tcPr>
          <w:p w:rsidR="00C5232D" w:rsidRPr="00C5232D" w:rsidRDefault="00C5232D" w:rsidP="00C5232D">
            <w:pPr>
              <w:spacing w:line="256" w:lineRule="auto"/>
              <w:jc w:val="center"/>
              <w:rPr>
                <w:sz w:val="20"/>
                <w:szCs w:val="20"/>
                <w:lang w:eastAsia="en-US"/>
              </w:rPr>
            </w:pPr>
            <w:r w:rsidRPr="00C5232D">
              <w:rPr>
                <w:sz w:val="20"/>
                <w:szCs w:val="20"/>
                <w:lang w:eastAsia="en-US"/>
              </w:rPr>
              <w:t>Наименование показателя</w:t>
            </w:r>
            <w:r w:rsidRPr="00C5232D">
              <w:rPr>
                <w:sz w:val="20"/>
                <w:szCs w:val="20"/>
                <w:vertAlign w:val="superscript"/>
                <w:lang w:eastAsia="en-US"/>
              </w:rPr>
              <w:footnoteReference w:id="2"/>
            </w:r>
          </w:p>
          <w:p w:rsidR="00C5232D" w:rsidRPr="00C5232D" w:rsidRDefault="00C5232D" w:rsidP="00C5232D">
            <w:pPr>
              <w:spacing w:line="256" w:lineRule="auto"/>
              <w:jc w:val="center"/>
              <w:rPr>
                <w:color w:val="FF0000"/>
                <w:sz w:val="20"/>
                <w:szCs w:val="20"/>
                <w:lang w:eastAsia="en-US"/>
              </w:rPr>
            </w:pPr>
            <w:r w:rsidRPr="00C5232D">
              <w:rPr>
                <w:color w:val="FF0000"/>
                <w:sz w:val="20"/>
                <w:szCs w:val="20"/>
                <w:lang w:eastAsia="en-US"/>
              </w:rPr>
              <w:t>(неизменяемое)</w:t>
            </w:r>
          </w:p>
        </w:tc>
        <w:tc>
          <w:tcPr>
            <w:tcW w:w="891" w:type="pct"/>
            <w:vAlign w:val="center"/>
          </w:tcPr>
          <w:p w:rsidR="00C5232D" w:rsidRPr="00C5232D" w:rsidRDefault="00C5232D" w:rsidP="00C5232D">
            <w:pPr>
              <w:autoSpaceDE w:val="0"/>
              <w:autoSpaceDN w:val="0"/>
              <w:adjustRightInd w:val="0"/>
              <w:spacing w:line="256" w:lineRule="auto"/>
              <w:jc w:val="center"/>
              <w:rPr>
                <w:sz w:val="20"/>
                <w:szCs w:val="20"/>
                <w:lang w:eastAsia="en-US"/>
              </w:rPr>
            </w:pPr>
            <w:r w:rsidRPr="00C5232D">
              <w:rPr>
                <w:sz w:val="20"/>
                <w:szCs w:val="20"/>
                <w:lang w:eastAsia="en-US"/>
              </w:rPr>
              <w:t>Значения показателей,</w:t>
            </w:r>
          </w:p>
          <w:p w:rsidR="00C5232D" w:rsidRPr="00C5232D" w:rsidRDefault="00C5232D" w:rsidP="00C5232D">
            <w:pPr>
              <w:autoSpaceDE w:val="0"/>
              <w:autoSpaceDN w:val="0"/>
              <w:adjustRightInd w:val="0"/>
              <w:spacing w:line="256" w:lineRule="auto"/>
              <w:jc w:val="center"/>
              <w:rPr>
                <w:sz w:val="20"/>
                <w:szCs w:val="20"/>
                <w:lang w:eastAsia="en-US"/>
              </w:rPr>
            </w:pPr>
            <w:r w:rsidRPr="00C5232D">
              <w:rPr>
                <w:sz w:val="20"/>
                <w:szCs w:val="20"/>
                <w:lang w:eastAsia="en-US"/>
              </w:rPr>
              <w:t xml:space="preserve"> которые не могут изменяться</w:t>
            </w:r>
            <w:r w:rsidRPr="00C5232D">
              <w:rPr>
                <w:sz w:val="20"/>
                <w:szCs w:val="20"/>
                <w:vertAlign w:val="superscript"/>
                <w:lang w:eastAsia="en-US"/>
              </w:rPr>
              <w:footnoteReference w:id="3"/>
            </w:r>
          </w:p>
          <w:p w:rsidR="00C5232D" w:rsidRPr="00C5232D" w:rsidRDefault="00C5232D" w:rsidP="00C5232D">
            <w:pPr>
              <w:autoSpaceDE w:val="0"/>
              <w:autoSpaceDN w:val="0"/>
              <w:adjustRightInd w:val="0"/>
              <w:spacing w:line="256" w:lineRule="auto"/>
              <w:jc w:val="center"/>
              <w:rPr>
                <w:color w:val="FF0000"/>
                <w:sz w:val="20"/>
                <w:szCs w:val="20"/>
                <w:lang w:eastAsia="en-US"/>
              </w:rPr>
            </w:pPr>
            <w:r w:rsidRPr="00C5232D">
              <w:rPr>
                <w:color w:val="FF0000"/>
                <w:sz w:val="20"/>
                <w:szCs w:val="20"/>
                <w:lang w:eastAsia="en-US"/>
              </w:rPr>
              <w:t>(неизменяемое)</w:t>
            </w:r>
          </w:p>
        </w:tc>
        <w:tc>
          <w:tcPr>
            <w:tcW w:w="1184" w:type="pct"/>
            <w:vAlign w:val="center"/>
          </w:tcPr>
          <w:p w:rsidR="00C5232D" w:rsidRPr="00C5232D" w:rsidRDefault="00C5232D" w:rsidP="00C5232D">
            <w:pPr>
              <w:autoSpaceDE w:val="0"/>
              <w:autoSpaceDN w:val="0"/>
              <w:adjustRightInd w:val="0"/>
              <w:spacing w:line="256" w:lineRule="auto"/>
              <w:jc w:val="center"/>
              <w:rPr>
                <w:sz w:val="20"/>
                <w:szCs w:val="20"/>
                <w:lang w:eastAsia="en-US"/>
              </w:rPr>
            </w:pPr>
            <w:r w:rsidRPr="00C5232D">
              <w:rPr>
                <w:sz w:val="20"/>
                <w:szCs w:val="20"/>
                <w:lang w:eastAsia="en-US"/>
              </w:rPr>
              <w:t>Изменяемое значение показателей (точное значение устанавливает участник закупки)</w:t>
            </w:r>
          </w:p>
        </w:tc>
        <w:tc>
          <w:tcPr>
            <w:tcW w:w="284" w:type="pct"/>
            <w:vMerge/>
          </w:tcPr>
          <w:p w:rsidR="00C5232D" w:rsidRPr="00C5232D" w:rsidRDefault="00C5232D" w:rsidP="00C5232D">
            <w:pPr>
              <w:widowControl w:val="0"/>
              <w:suppressAutoHyphens/>
              <w:jc w:val="center"/>
              <w:rPr>
                <w:color w:val="000000"/>
                <w:sz w:val="20"/>
                <w:szCs w:val="20"/>
                <w:lang w:eastAsia="en-US" w:bidi="en-US"/>
              </w:rPr>
            </w:pPr>
          </w:p>
        </w:tc>
        <w:tc>
          <w:tcPr>
            <w:tcW w:w="425" w:type="pct"/>
            <w:vMerge/>
          </w:tcPr>
          <w:p w:rsidR="00C5232D" w:rsidRPr="00C5232D" w:rsidRDefault="00C5232D" w:rsidP="00C5232D">
            <w:pPr>
              <w:widowControl w:val="0"/>
              <w:suppressAutoHyphens/>
              <w:jc w:val="center"/>
              <w:rPr>
                <w:color w:val="000000"/>
                <w:sz w:val="20"/>
                <w:szCs w:val="20"/>
                <w:lang w:eastAsia="en-US" w:bidi="en-US"/>
              </w:rPr>
            </w:pPr>
          </w:p>
        </w:tc>
      </w:tr>
      <w:tr w:rsidR="00C5232D" w:rsidRPr="00C5232D" w:rsidTr="00257415">
        <w:trPr>
          <w:trHeight w:val="211"/>
        </w:trPr>
        <w:tc>
          <w:tcPr>
            <w:tcW w:w="265" w:type="pct"/>
            <w:vMerge w:val="restar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1</w:t>
            </w:r>
          </w:p>
        </w:tc>
        <w:tc>
          <w:tcPr>
            <w:tcW w:w="996"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 xml:space="preserve">Впитывающие простыни (пеленки) размером не менее 40 </w:t>
            </w:r>
            <w:r w:rsidRPr="00C5232D">
              <w:rPr>
                <w:color w:val="000000"/>
                <w:sz w:val="20"/>
                <w:szCs w:val="20"/>
                <w:lang w:val="en-US" w:eastAsia="en-US" w:bidi="en-US"/>
              </w:rPr>
              <w:t>x</w:t>
            </w:r>
            <w:r w:rsidRPr="00C5232D">
              <w:rPr>
                <w:color w:val="000000"/>
                <w:sz w:val="20"/>
                <w:szCs w:val="20"/>
                <w:lang w:eastAsia="en-US" w:bidi="en-US"/>
              </w:rPr>
              <w:t xml:space="preserve"> 60 см (</w:t>
            </w:r>
            <w:proofErr w:type="spellStart"/>
            <w:r w:rsidRPr="00C5232D">
              <w:rPr>
                <w:color w:val="000000"/>
                <w:sz w:val="20"/>
                <w:szCs w:val="20"/>
                <w:lang w:eastAsia="en-US" w:bidi="en-US"/>
              </w:rPr>
              <w:t>впитываемостью</w:t>
            </w:r>
            <w:proofErr w:type="spellEnd"/>
            <w:r w:rsidRPr="00C5232D">
              <w:rPr>
                <w:color w:val="000000"/>
                <w:sz w:val="20"/>
                <w:szCs w:val="20"/>
                <w:lang w:eastAsia="en-US" w:bidi="en-US"/>
              </w:rPr>
              <w:t xml:space="preserve"> от 400 до 500 мл)</w:t>
            </w:r>
          </w:p>
        </w:tc>
        <w:tc>
          <w:tcPr>
            <w:tcW w:w="955" w:type="pct"/>
          </w:tcPr>
          <w:p w:rsidR="00C5232D" w:rsidRPr="00C5232D" w:rsidRDefault="00C5232D" w:rsidP="009B604D">
            <w:pPr>
              <w:widowControl w:val="0"/>
              <w:tabs>
                <w:tab w:val="left" w:pos="708"/>
              </w:tabs>
              <w:suppressAutoHyphens/>
              <w:rPr>
                <w:color w:val="000000"/>
                <w:sz w:val="20"/>
                <w:szCs w:val="20"/>
                <w:lang w:val="en-US" w:eastAsia="en-US" w:bidi="en-US"/>
              </w:rPr>
            </w:pPr>
            <w:proofErr w:type="spellStart"/>
            <w:r w:rsidRPr="00C5232D">
              <w:rPr>
                <w:color w:val="000000"/>
                <w:sz w:val="20"/>
                <w:szCs w:val="20"/>
                <w:lang w:val="en-US" w:eastAsia="en-US" w:bidi="en-US"/>
              </w:rPr>
              <w:t>Размер</w:t>
            </w:r>
            <w:proofErr w:type="spellEnd"/>
            <w:r w:rsidRPr="00C5232D">
              <w:rPr>
                <w:color w:val="000000"/>
                <w:sz w:val="20"/>
                <w:szCs w:val="20"/>
                <w:lang w:val="en-US" w:eastAsia="en-US" w:bidi="en-US"/>
              </w:rPr>
              <w:t xml:space="preserve">, </w:t>
            </w:r>
            <w:proofErr w:type="spellStart"/>
            <w:r w:rsidRPr="00C5232D">
              <w:rPr>
                <w:color w:val="000000"/>
                <w:sz w:val="20"/>
                <w:szCs w:val="20"/>
                <w:lang w:val="en-US" w:eastAsia="en-US" w:bidi="en-US"/>
              </w:rPr>
              <w:t>см</w:t>
            </w:r>
            <w:proofErr w:type="spellEnd"/>
            <w:r w:rsidRPr="00C5232D">
              <w:rPr>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40*60</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val="restart"/>
          </w:tcPr>
          <w:p w:rsidR="00C5232D" w:rsidRPr="00C5232D" w:rsidRDefault="00C5232D" w:rsidP="009B604D">
            <w:pPr>
              <w:widowControl w:val="0"/>
              <w:suppressAutoHyphens/>
              <w:jc w:val="center"/>
              <w:rPr>
                <w:color w:val="000000"/>
                <w:sz w:val="20"/>
                <w:szCs w:val="20"/>
                <w:lang w:val="en-US" w:eastAsia="en-US" w:bidi="en-US"/>
              </w:rPr>
            </w:pPr>
            <w:proofErr w:type="spellStart"/>
            <w:proofErr w:type="gramStart"/>
            <w:r w:rsidRPr="00C5232D">
              <w:rPr>
                <w:color w:val="000000"/>
                <w:sz w:val="20"/>
                <w:szCs w:val="20"/>
                <w:lang w:val="en-US" w:eastAsia="en-US" w:bidi="en-US"/>
              </w:rPr>
              <w:t>шт</w:t>
            </w:r>
            <w:proofErr w:type="spellEnd"/>
            <w:proofErr w:type="gramEnd"/>
            <w:r w:rsidRPr="00C5232D">
              <w:rPr>
                <w:color w:val="000000"/>
                <w:sz w:val="20"/>
                <w:szCs w:val="20"/>
                <w:lang w:val="en-US" w:eastAsia="en-US" w:bidi="en-US"/>
              </w:rPr>
              <w:t>.</w:t>
            </w:r>
          </w:p>
        </w:tc>
        <w:tc>
          <w:tcPr>
            <w:tcW w:w="425"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3 600</w:t>
            </w: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одноразового</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пользования</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Впитываемость</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мл</w:t>
            </w:r>
            <w:proofErr w:type="spellEnd"/>
            <w:r w:rsidRPr="00C5232D">
              <w:rPr>
                <w:bCs/>
                <w:color w:val="000000"/>
                <w:sz w:val="20"/>
                <w:szCs w:val="20"/>
                <w:lang w:val="en-US" w:eastAsia="en-US" w:bidi="en-US"/>
              </w:rPr>
              <w:t>.</w:t>
            </w:r>
          </w:p>
        </w:tc>
        <w:tc>
          <w:tcPr>
            <w:tcW w:w="891" w:type="pct"/>
          </w:tcPr>
          <w:p w:rsidR="00C5232D" w:rsidRPr="00C5232D" w:rsidRDefault="00C5232D" w:rsidP="009B604D">
            <w:pPr>
              <w:widowControl w:val="0"/>
              <w:suppressAutoHyphens/>
              <w:jc w:val="center"/>
              <w:rPr>
                <w:color w:val="000000"/>
                <w:sz w:val="20"/>
                <w:szCs w:val="20"/>
                <w:lang w:val="en-US" w:eastAsia="en-US" w:bidi="en-US"/>
              </w:rPr>
            </w:pPr>
          </w:p>
        </w:tc>
        <w:tc>
          <w:tcPr>
            <w:tcW w:w="1184"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От</w:t>
            </w:r>
            <w:proofErr w:type="spellEnd"/>
            <w:r w:rsidRPr="00C5232D">
              <w:rPr>
                <w:color w:val="000000"/>
                <w:sz w:val="20"/>
                <w:szCs w:val="20"/>
                <w:lang w:val="en-US" w:eastAsia="en-US" w:bidi="en-US"/>
              </w:rPr>
              <w:t xml:space="preserve"> 400 </w:t>
            </w:r>
            <w:proofErr w:type="spellStart"/>
            <w:r w:rsidRPr="00C5232D">
              <w:rPr>
                <w:color w:val="000000"/>
                <w:sz w:val="20"/>
                <w:szCs w:val="20"/>
                <w:lang w:val="en-US" w:eastAsia="en-US" w:bidi="en-US"/>
              </w:rPr>
              <w:t>до</w:t>
            </w:r>
            <w:proofErr w:type="spellEnd"/>
            <w:r w:rsidRPr="00C5232D">
              <w:rPr>
                <w:color w:val="000000"/>
                <w:sz w:val="20"/>
                <w:szCs w:val="20"/>
                <w:lang w:val="en-US" w:eastAsia="en-US" w:bidi="en-US"/>
              </w:rPr>
              <w:t xml:space="preserve"> 500</w:t>
            </w: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eastAsia="en-US" w:bidi="en-US"/>
              </w:rPr>
            </w:pPr>
            <w:r w:rsidRPr="00C5232D">
              <w:rPr>
                <w:bCs/>
                <w:color w:val="000000"/>
                <w:sz w:val="20"/>
                <w:szCs w:val="20"/>
                <w:lang w:eastAsia="en-US" w:bidi="en-US"/>
              </w:rPr>
              <w:t>Срок годности Изделий с момента передачи Получателю должен составлять не менее 12 месяцев</w:t>
            </w:r>
          </w:p>
        </w:tc>
        <w:tc>
          <w:tcPr>
            <w:tcW w:w="891" w:type="pct"/>
          </w:tcPr>
          <w:p w:rsidR="00C5232D" w:rsidRPr="00C5232D" w:rsidRDefault="00C5232D" w:rsidP="009B604D">
            <w:pPr>
              <w:widowControl w:val="0"/>
              <w:suppressAutoHyphens/>
              <w:jc w:val="center"/>
              <w:rPr>
                <w:bCs/>
                <w:color w:val="000000"/>
                <w:sz w:val="20"/>
                <w:szCs w:val="20"/>
                <w:lang w:val="en-US" w:eastAsia="en-US" w:bidi="en-US"/>
              </w:rPr>
            </w:pPr>
            <w:proofErr w:type="spellStart"/>
            <w:r w:rsidRPr="00C5232D">
              <w:rPr>
                <w:bCs/>
                <w:color w:val="000000"/>
                <w:sz w:val="20"/>
                <w:szCs w:val="20"/>
                <w:lang w:val="en-US" w:eastAsia="en-US" w:bidi="en-US"/>
              </w:rPr>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Материал</w:t>
            </w:r>
            <w:proofErr w:type="spellEnd"/>
            <w:r w:rsidRPr="00C5232D">
              <w:rPr>
                <w:bCs/>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bCs/>
                <w:color w:val="000000"/>
                <w:sz w:val="20"/>
                <w:szCs w:val="20"/>
                <w:lang w:val="en-US" w:eastAsia="en-US" w:bidi="en-US"/>
              </w:rPr>
              <w:t>распушенная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целлюлоза</w:t>
            </w:r>
            <w:proofErr w:type="spellEnd"/>
            <w:r w:rsidRPr="00C5232D">
              <w:rPr>
                <w:bCs/>
                <w:color w:val="000000"/>
                <w:sz w:val="20"/>
                <w:szCs w:val="20"/>
                <w:lang w:val="en-US" w:eastAsia="en-US" w:bidi="en-US"/>
              </w:rPr>
              <w:t xml:space="preserve"> </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Упаковочная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коробка</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наличие</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val="restar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2</w:t>
            </w:r>
          </w:p>
        </w:tc>
        <w:tc>
          <w:tcPr>
            <w:tcW w:w="996"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 xml:space="preserve">Впитывающие простыни (пеленки) размером не менее 60 </w:t>
            </w:r>
            <w:r w:rsidRPr="00C5232D">
              <w:rPr>
                <w:color w:val="000000"/>
                <w:sz w:val="20"/>
                <w:szCs w:val="20"/>
                <w:lang w:val="en-US" w:eastAsia="en-US" w:bidi="en-US"/>
              </w:rPr>
              <w:t>x</w:t>
            </w:r>
            <w:r w:rsidRPr="00C5232D">
              <w:rPr>
                <w:color w:val="000000"/>
                <w:sz w:val="20"/>
                <w:szCs w:val="20"/>
                <w:lang w:eastAsia="en-US" w:bidi="en-US"/>
              </w:rPr>
              <w:t xml:space="preserve"> 60 см (</w:t>
            </w:r>
            <w:proofErr w:type="spellStart"/>
            <w:r w:rsidRPr="00C5232D">
              <w:rPr>
                <w:color w:val="000000"/>
                <w:sz w:val="20"/>
                <w:szCs w:val="20"/>
                <w:lang w:eastAsia="en-US" w:bidi="en-US"/>
              </w:rPr>
              <w:t>впитываемостью</w:t>
            </w:r>
            <w:proofErr w:type="spellEnd"/>
            <w:r w:rsidRPr="00C5232D">
              <w:rPr>
                <w:color w:val="000000"/>
                <w:sz w:val="20"/>
                <w:szCs w:val="20"/>
                <w:lang w:eastAsia="en-US" w:bidi="en-US"/>
              </w:rPr>
              <w:t xml:space="preserve"> от 800 до 1200 мл)</w:t>
            </w:r>
          </w:p>
        </w:tc>
        <w:tc>
          <w:tcPr>
            <w:tcW w:w="955" w:type="pct"/>
          </w:tcPr>
          <w:p w:rsidR="00C5232D" w:rsidRPr="00C5232D" w:rsidRDefault="00C5232D" w:rsidP="009B604D">
            <w:pPr>
              <w:widowControl w:val="0"/>
              <w:tabs>
                <w:tab w:val="left" w:pos="708"/>
              </w:tabs>
              <w:suppressAutoHyphens/>
              <w:rPr>
                <w:color w:val="000000"/>
                <w:sz w:val="20"/>
                <w:szCs w:val="20"/>
                <w:lang w:val="en-US" w:eastAsia="en-US" w:bidi="en-US"/>
              </w:rPr>
            </w:pPr>
            <w:proofErr w:type="spellStart"/>
            <w:r w:rsidRPr="00C5232D">
              <w:rPr>
                <w:color w:val="000000"/>
                <w:sz w:val="20"/>
                <w:szCs w:val="20"/>
                <w:lang w:val="en-US" w:eastAsia="en-US" w:bidi="en-US"/>
              </w:rPr>
              <w:t>Размер</w:t>
            </w:r>
            <w:proofErr w:type="spellEnd"/>
            <w:r w:rsidRPr="00C5232D">
              <w:rPr>
                <w:color w:val="000000"/>
                <w:sz w:val="20"/>
                <w:szCs w:val="20"/>
                <w:lang w:val="en-US" w:eastAsia="en-US" w:bidi="en-US"/>
              </w:rPr>
              <w:t xml:space="preserve">, </w:t>
            </w:r>
            <w:proofErr w:type="spellStart"/>
            <w:r w:rsidRPr="00C5232D">
              <w:rPr>
                <w:color w:val="000000"/>
                <w:sz w:val="20"/>
                <w:szCs w:val="20"/>
                <w:lang w:val="en-US" w:eastAsia="en-US" w:bidi="en-US"/>
              </w:rPr>
              <w:t>см</w:t>
            </w:r>
            <w:proofErr w:type="spellEnd"/>
            <w:r w:rsidRPr="00C5232D">
              <w:rPr>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60*60</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val="restart"/>
          </w:tcPr>
          <w:p w:rsidR="00C5232D" w:rsidRPr="00C5232D" w:rsidRDefault="00C5232D" w:rsidP="009B604D">
            <w:pPr>
              <w:widowControl w:val="0"/>
              <w:suppressAutoHyphens/>
              <w:jc w:val="center"/>
              <w:rPr>
                <w:color w:val="000000"/>
                <w:sz w:val="20"/>
                <w:szCs w:val="20"/>
                <w:lang w:val="en-US" w:eastAsia="en-US" w:bidi="en-US"/>
              </w:rPr>
            </w:pPr>
            <w:proofErr w:type="spellStart"/>
            <w:proofErr w:type="gramStart"/>
            <w:r w:rsidRPr="00C5232D">
              <w:rPr>
                <w:color w:val="000000"/>
                <w:sz w:val="20"/>
                <w:szCs w:val="20"/>
                <w:lang w:val="en-US" w:eastAsia="en-US" w:bidi="en-US"/>
              </w:rPr>
              <w:t>шт</w:t>
            </w:r>
            <w:proofErr w:type="spellEnd"/>
            <w:proofErr w:type="gramEnd"/>
            <w:r w:rsidRPr="00C5232D">
              <w:rPr>
                <w:color w:val="000000"/>
                <w:sz w:val="20"/>
                <w:szCs w:val="20"/>
                <w:lang w:val="en-US" w:eastAsia="en-US" w:bidi="en-US"/>
              </w:rPr>
              <w:t>.</w:t>
            </w:r>
          </w:p>
        </w:tc>
        <w:tc>
          <w:tcPr>
            <w:tcW w:w="425"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8 640</w:t>
            </w: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одноразового</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пользования</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Впитываемость</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мл</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
        </w:tc>
        <w:tc>
          <w:tcPr>
            <w:tcW w:w="1184"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от</w:t>
            </w:r>
            <w:proofErr w:type="spellEnd"/>
            <w:r w:rsidRPr="00C5232D">
              <w:rPr>
                <w:color w:val="000000"/>
                <w:sz w:val="20"/>
                <w:szCs w:val="20"/>
                <w:lang w:val="en-US" w:eastAsia="en-US" w:bidi="en-US"/>
              </w:rPr>
              <w:t xml:space="preserve"> 800 </w:t>
            </w:r>
            <w:proofErr w:type="spellStart"/>
            <w:r w:rsidRPr="00C5232D">
              <w:rPr>
                <w:color w:val="000000"/>
                <w:sz w:val="20"/>
                <w:szCs w:val="20"/>
                <w:lang w:val="en-US" w:eastAsia="en-US" w:bidi="en-US"/>
              </w:rPr>
              <w:t>до</w:t>
            </w:r>
            <w:proofErr w:type="spellEnd"/>
            <w:r w:rsidRPr="00C5232D">
              <w:rPr>
                <w:color w:val="000000"/>
                <w:sz w:val="20"/>
                <w:szCs w:val="20"/>
                <w:lang w:val="en-US" w:eastAsia="en-US" w:bidi="en-US"/>
              </w:rPr>
              <w:t xml:space="preserve"> 1200</w:t>
            </w: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eastAsia="en-US" w:bidi="en-US"/>
              </w:rPr>
            </w:pPr>
            <w:r w:rsidRPr="00C5232D">
              <w:rPr>
                <w:bCs/>
                <w:color w:val="000000"/>
                <w:sz w:val="20"/>
                <w:szCs w:val="20"/>
                <w:lang w:eastAsia="en-US" w:bidi="en-US"/>
              </w:rPr>
              <w:t>Срок годности Изделий с момента передачи Получателю должен составлять не менее 12 месяцев</w:t>
            </w:r>
          </w:p>
        </w:tc>
        <w:tc>
          <w:tcPr>
            <w:tcW w:w="891" w:type="pct"/>
          </w:tcPr>
          <w:p w:rsidR="00C5232D" w:rsidRPr="00C5232D" w:rsidRDefault="00C5232D" w:rsidP="009B604D">
            <w:pPr>
              <w:widowControl w:val="0"/>
              <w:suppressAutoHyphens/>
              <w:jc w:val="center"/>
              <w:rPr>
                <w:bCs/>
                <w:color w:val="000000"/>
                <w:sz w:val="20"/>
                <w:szCs w:val="20"/>
                <w:lang w:val="en-US" w:eastAsia="en-US" w:bidi="en-US"/>
              </w:rPr>
            </w:pPr>
            <w:proofErr w:type="spellStart"/>
            <w:r w:rsidRPr="00C5232D">
              <w:rPr>
                <w:bCs/>
                <w:color w:val="000000"/>
                <w:sz w:val="20"/>
                <w:szCs w:val="20"/>
                <w:lang w:val="en-US" w:eastAsia="en-US" w:bidi="en-US"/>
              </w:rPr>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Материал</w:t>
            </w:r>
            <w:proofErr w:type="spellEnd"/>
            <w:r w:rsidRPr="00C5232D">
              <w:rPr>
                <w:bCs/>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bCs/>
                <w:color w:val="000000"/>
                <w:sz w:val="20"/>
                <w:szCs w:val="20"/>
                <w:lang w:val="en-US" w:eastAsia="en-US" w:bidi="en-US"/>
              </w:rPr>
              <w:t>распушенная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целлюлоза</w:t>
            </w:r>
            <w:proofErr w:type="spellEnd"/>
            <w:r w:rsidRPr="00C5232D">
              <w:rPr>
                <w:bCs/>
                <w:color w:val="000000"/>
                <w:sz w:val="20"/>
                <w:szCs w:val="20"/>
                <w:lang w:val="en-US" w:eastAsia="en-US" w:bidi="en-US"/>
              </w:rPr>
              <w:t xml:space="preserve"> </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Упаковочная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коробка</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наличие</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val="restar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3</w:t>
            </w:r>
          </w:p>
        </w:tc>
        <w:tc>
          <w:tcPr>
            <w:tcW w:w="996"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 xml:space="preserve">Впитывающие простыни (пеленки) размером не менее 60 </w:t>
            </w:r>
            <w:r w:rsidRPr="00C5232D">
              <w:rPr>
                <w:color w:val="000000"/>
                <w:sz w:val="20"/>
                <w:szCs w:val="20"/>
                <w:lang w:val="en-US" w:eastAsia="en-US" w:bidi="en-US"/>
              </w:rPr>
              <w:t>x</w:t>
            </w:r>
            <w:r w:rsidRPr="00C5232D">
              <w:rPr>
                <w:color w:val="000000"/>
                <w:sz w:val="20"/>
                <w:szCs w:val="20"/>
                <w:lang w:eastAsia="en-US" w:bidi="en-US"/>
              </w:rPr>
              <w:t xml:space="preserve"> 90 см (</w:t>
            </w:r>
            <w:proofErr w:type="spellStart"/>
            <w:r w:rsidRPr="00C5232D">
              <w:rPr>
                <w:color w:val="000000"/>
                <w:sz w:val="20"/>
                <w:szCs w:val="20"/>
                <w:lang w:eastAsia="en-US" w:bidi="en-US"/>
              </w:rPr>
              <w:t>впитываемостью</w:t>
            </w:r>
            <w:proofErr w:type="spellEnd"/>
            <w:r w:rsidRPr="00C5232D">
              <w:rPr>
                <w:color w:val="000000"/>
                <w:sz w:val="20"/>
                <w:szCs w:val="20"/>
                <w:lang w:eastAsia="en-US" w:bidi="en-US"/>
              </w:rPr>
              <w:t xml:space="preserve"> от 1200 до 1900 мл)</w:t>
            </w:r>
          </w:p>
        </w:tc>
        <w:tc>
          <w:tcPr>
            <w:tcW w:w="955" w:type="pct"/>
          </w:tcPr>
          <w:p w:rsidR="00C5232D" w:rsidRPr="00C5232D" w:rsidRDefault="00C5232D" w:rsidP="009B604D">
            <w:pPr>
              <w:widowControl w:val="0"/>
              <w:tabs>
                <w:tab w:val="left" w:pos="708"/>
              </w:tabs>
              <w:suppressAutoHyphens/>
              <w:rPr>
                <w:color w:val="000000"/>
                <w:sz w:val="20"/>
                <w:szCs w:val="20"/>
                <w:lang w:val="en-US" w:eastAsia="en-US" w:bidi="en-US"/>
              </w:rPr>
            </w:pPr>
            <w:proofErr w:type="spellStart"/>
            <w:r w:rsidRPr="00C5232D">
              <w:rPr>
                <w:color w:val="000000"/>
                <w:sz w:val="20"/>
                <w:szCs w:val="20"/>
                <w:lang w:val="en-US" w:eastAsia="en-US" w:bidi="en-US"/>
              </w:rPr>
              <w:t>Размер</w:t>
            </w:r>
            <w:proofErr w:type="spellEnd"/>
            <w:r w:rsidRPr="00C5232D">
              <w:rPr>
                <w:color w:val="000000"/>
                <w:sz w:val="20"/>
                <w:szCs w:val="20"/>
                <w:lang w:val="en-US" w:eastAsia="en-US" w:bidi="en-US"/>
              </w:rPr>
              <w:t xml:space="preserve">, </w:t>
            </w:r>
            <w:proofErr w:type="spellStart"/>
            <w:r w:rsidRPr="00C5232D">
              <w:rPr>
                <w:color w:val="000000"/>
                <w:sz w:val="20"/>
                <w:szCs w:val="20"/>
                <w:lang w:val="en-US" w:eastAsia="en-US" w:bidi="en-US"/>
              </w:rPr>
              <w:t>см</w:t>
            </w:r>
            <w:proofErr w:type="spellEnd"/>
            <w:r w:rsidRPr="00C5232D">
              <w:rPr>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r w:rsidRPr="00C5232D">
              <w:rPr>
                <w:color w:val="000000"/>
                <w:sz w:val="20"/>
                <w:szCs w:val="20"/>
                <w:lang w:val="en-US" w:eastAsia="en-US" w:bidi="en-US"/>
              </w:rPr>
              <w:t>60*90</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val="restart"/>
          </w:tcPr>
          <w:p w:rsidR="00C5232D" w:rsidRPr="00C5232D" w:rsidRDefault="00C5232D" w:rsidP="009B604D">
            <w:pPr>
              <w:widowControl w:val="0"/>
              <w:suppressAutoHyphens/>
              <w:jc w:val="center"/>
              <w:rPr>
                <w:color w:val="000000"/>
                <w:sz w:val="20"/>
                <w:szCs w:val="20"/>
                <w:lang w:val="en-US" w:eastAsia="en-US" w:bidi="en-US"/>
              </w:rPr>
            </w:pPr>
            <w:proofErr w:type="spellStart"/>
            <w:proofErr w:type="gramStart"/>
            <w:r w:rsidRPr="00C5232D">
              <w:rPr>
                <w:color w:val="000000"/>
                <w:sz w:val="20"/>
                <w:szCs w:val="20"/>
                <w:lang w:val="en-US" w:eastAsia="en-US" w:bidi="en-US"/>
              </w:rPr>
              <w:t>шт</w:t>
            </w:r>
            <w:proofErr w:type="spellEnd"/>
            <w:proofErr w:type="gramEnd"/>
            <w:r w:rsidRPr="00C5232D">
              <w:rPr>
                <w:color w:val="000000"/>
                <w:sz w:val="20"/>
                <w:szCs w:val="20"/>
                <w:lang w:val="en-US" w:eastAsia="en-US" w:bidi="en-US"/>
              </w:rPr>
              <w:t>.</w:t>
            </w:r>
          </w:p>
        </w:tc>
        <w:tc>
          <w:tcPr>
            <w:tcW w:w="425" w:type="pct"/>
            <w:vMerge w:val="restart"/>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194 400</w:t>
            </w: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одноразового</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пользования</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впитываемость</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
        </w:tc>
        <w:tc>
          <w:tcPr>
            <w:tcW w:w="1184"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от</w:t>
            </w:r>
            <w:proofErr w:type="spellEnd"/>
            <w:r w:rsidRPr="00C5232D">
              <w:rPr>
                <w:color w:val="000000"/>
                <w:sz w:val="20"/>
                <w:szCs w:val="20"/>
                <w:lang w:val="en-US" w:eastAsia="en-US" w:bidi="en-US"/>
              </w:rPr>
              <w:t xml:space="preserve"> 1200 </w:t>
            </w:r>
            <w:proofErr w:type="spellStart"/>
            <w:r w:rsidRPr="00C5232D">
              <w:rPr>
                <w:color w:val="000000"/>
                <w:sz w:val="20"/>
                <w:szCs w:val="20"/>
                <w:lang w:val="en-US" w:eastAsia="en-US" w:bidi="en-US"/>
              </w:rPr>
              <w:t>до</w:t>
            </w:r>
            <w:proofErr w:type="spellEnd"/>
            <w:r w:rsidRPr="00C5232D">
              <w:rPr>
                <w:color w:val="000000"/>
                <w:sz w:val="20"/>
                <w:szCs w:val="20"/>
                <w:lang w:val="en-US" w:eastAsia="en-US" w:bidi="en-US"/>
              </w:rPr>
              <w:t xml:space="preserve"> 1900</w:t>
            </w: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eastAsia="en-US" w:bidi="en-US"/>
              </w:rPr>
            </w:pPr>
            <w:r w:rsidRPr="00C5232D">
              <w:rPr>
                <w:bCs/>
                <w:color w:val="000000"/>
                <w:sz w:val="20"/>
                <w:szCs w:val="20"/>
                <w:lang w:eastAsia="en-US" w:bidi="en-US"/>
              </w:rPr>
              <w:t xml:space="preserve">Срок годности Изделий с момента передачи Получателю должен составлять </w:t>
            </w:r>
            <w:r w:rsidRPr="00C5232D">
              <w:rPr>
                <w:bCs/>
                <w:color w:val="000000"/>
                <w:sz w:val="20"/>
                <w:szCs w:val="20"/>
                <w:lang w:eastAsia="en-US" w:bidi="en-US"/>
              </w:rPr>
              <w:lastRenderedPageBreak/>
              <w:t>не менее 12 месяцев</w:t>
            </w:r>
          </w:p>
        </w:tc>
        <w:tc>
          <w:tcPr>
            <w:tcW w:w="891" w:type="pct"/>
          </w:tcPr>
          <w:p w:rsidR="00C5232D" w:rsidRPr="00C5232D" w:rsidRDefault="00C5232D" w:rsidP="009B604D">
            <w:pPr>
              <w:widowControl w:val="0"/>
              <w:suppressAutoHyphens/>
              <w:jc w:val="center"/>
              <w:rPr>
                <w:bCs/>
                <w:color w:val="000000"/>
                <w:sz w:val="20"/>
                <w:szCs w:val="20"/>
                <w:lang w:val="en-US" w:eastAsia="en-US" w:bidi="en-US"/>
              </w:rPr>
            </w:pPr>
            <w:proofErr w:type="spellStart"/>
            <w:r w:rsidRPr="00C5232D">
              <w:rPr>
                <w:bCs/>
                <w:color w:val="000000"/>
                <w:sz w:val="20"/>
                <w:szCs w:val="20"/>
                <w:lang w:val="en-US" w:eastAsia="en-US" w:bidi="en-US"/>
              </w:rPr>
              <w:lastRenderedPageBreak/>
              <w:t>соответствует</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Материал</w:t>
            </w:r>
            <w:proofErr w:type="spellEnd"/>
            <w:r w:rsidRPr="00C5232D">
              <w:rPr>
                <w:bCs/>
                <w:color w:val="000000"/>
                <w:sz w:val="20"/>
                <w:szCs w:val="20"/>
                <w:lang w:val="en-US" w:eastAsia="en-US" w:bidi="en-US"/>
              </w:rPr>
              <w:t xml:space="preserve"> </w:t>
            </w:r>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bCs/>
                <w:color w:val="000000"/>
                <w:sz w:val="20"/>
                <w:szCs w:val="20"/>
                <w:lang w:val="en-US" w:eastAsia="en-US" w:bidi="en-US"/>
              </w:rPr>
              <w:t>распушенная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целлюлоза</w:t>
            </w:r>
            <w:proofErr w:type="spellEnd"/>
            <w:r w:rsidRPr="00C5232D">
              <w:rPr>
                <w:bCs/>
                <w:color w:val="000000"/>
                <w:sz w:val="20"/>
                <w:szCs w:val="20"/>
                <w:lang w:val="en-US" w:eastAsia="en-US" w:bidi="en-US"/>
              </w:rPr>
              <w:t xml:space="preserve"> </w:t>
            </w:r>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vMerge/>
          </w:tcPr>
          <w:p w:rsidR="00C5232D" w:rsidRPr="00C5232D" w:rsidRDefault="00C5232D" w:rsidP="009B604D">
            <w:pPr>
              <w:widowControl w:val="0"/>
              <w:suppressAutoHyphens/>
              <w:jc w:val="center"/>
              <w:rPr>
                <w:color w:val="000000"/>
                <w:sz w:val="20"/>
                <w:szCs w:val="20"/>
                <w:lang w:val="en-US" w:eastAsia="en-US" w:bidi="en-US"/>
              </w:rPr>
            </w:pPr>
          </w:p>
        </w:tc>
        <w:tc>
          <w:tcPr>
            <w:tcW w:w="996" w:type="pct"/>
            <w:vMerge/>
          </w:tcPr>
          <w:p w:rsidR="00C5232D" w:rsidRPr="00C5232D" w:rsidRDefault="00C5232D" w:rsidP="009B604D">
            <w:pPr>
              <w:widowControl w:val="0"/>
              <w:suppressAutoHyphens/>
              <w:jc w:val="center"/>
              <w:rPr>
                <w:bCs/>
                <w:color w:val="000000"/>
                <w:sz w:val="20"/>
                <w:szCs w:val="20"/>
                <w:lang w:val="en-US" w:eastAsia="en-US" w:bidi="en-US"/>
              </w:rPr>
            </w:pPr>
          </w:p>
        </w:tc>
        <w:tc>
          <w:tcPr>
            <w:tcW w:w="955" w:type="pct"/>
          </w:tcPr>
          <w:p w:rsidR="00C5232D" w:rsidRPr="00C5232D" w:rsidRDefault="00C5232D" w:rsidP="009B604D">
            <w:pPr>
              <w:widowControl w:val="0"/>
              <w:tabs>
                <w:tab w:val="left" w:pos="708"/>
              </w:tabs>
              <w:suppressAutoHyphens/>
              <w:rPr>
                <w:bCs/>
                <w:color w:val="000000"/>
                <w:sz w:val="20"/>
                <w:szCs w:val="20"/>
                <w:lang w:val="en-US" w:eastAsia="en-US" w:bidi="en-US"/>
              </w:rPr>
            </w:pPr>
            <w:proofErr w:type="spellStart"/>
            <w:r w:rsidRPr="00C5232D">
              <w:rPr>
                <w:bCs/>
                <w:color w:val="000000"/>
                <w:sz w:val="20"/>
                <w:szCs w:val="20"/>
                <w:lang w:val="en-US" w:eastAsia="en-US" w:bidi="en-US"/>
              </w:rPr>
              <w:t>Упаковочная</w:t>
            </w:r>
            <w:proofErr w:type="spellEnd"/>
            <w:r w:rsidRPr="00C5232D">
              <w:rPr>
                <w:bCs/>
                <w:color w:val="000000"/>
                <w:sz w:val="20"/>
                <w:szCs w:val="20"/>
                <w:lang w:val="en-US" w:eastAsia="en-US" w:bidi="en-US"/>
              </w:rPr>
              <w:t xml:space="preserve"> </w:t>
            </w:r>
            <w:proofErr w:type="spellStart"/>
            <w:r w:rsidRPr="00C5232D">
              <w:rPr>
                <w:bCs/>
                <w:color w:val="000000"/>
                <w:sz w:val="20"/>
                <w:szCs w:val="20"/>
                <w:lang w:val="en-US" w:eastAsia="en-US" w:bidi="en-US"/>
              </w:rPr>
              <w:t>коробка</w:t>
            </w:r>
            <w:proofErr w:type="spellEnd"/>
          </w:p>
        </w:tc>
        <w:tc>
          <w:tcPr>
            <w:tcW w:w="891" w:type="pct"/>
          </w:tcPr>
          <w:p w:rsidR="00C5232D" w:rsidRPr="00C5232D" w:rsidRDefault="00C5232D" w:rsidP="009B604D">
            <w:pPr>
              <w:widowControl w:val="0"/>
              <w:suppressAutoHyphens/>
              <w:jc w:val="center"/>
              <w:rPr>
                <w:color w:val="000000"/>
                <w:sz w:val="20"/>
                <w:szCs w:val="20"/>
                <w:lang w:val="en-US" w:eastAsia="en-US" w:bidi="en-US"/>
              </w:rPr>
            </w:pPr>
            <w:proofErr w:type="spellStart"/>
            <w:r w:rsidRPr="00C5232D">
              <w:rPr>
                <w:color w:val="000000"/>
                <w:sz w:val="20"/>
                <w:szCs w:val="20"/>
                <w:lang w:val="en-US" w:eastAsia="en-US" w:bidi="en-US"/>
              </w:rPr>
              <w:t>наличие</w:t>
            </w:r>
            <w:proofErr w:type="spellEnd"/>
          </w:p>
        </w:tc>
        <w:tc>
          <w:tcPr>
            <w:tcW w:w="1184" w:type="pct"/>
          </w:tcPr>
          <w:p w:rsidR="00C5232D" w:rsidRPr="00C5232D" w:rsidRDefault="00C5232D" w:rsidP="009B604D">
            <w:pPr>
              <w:widowControl w:val="0"/>
              <w:suppressAutoHyphens/>
              <w:jc w:val="center"/>
              <w:rPr>
                <w:color w:val="000000"/>
                <w:sz w:val="20"/>
                <w:szCs w:val="20"/>
                <w:lang w:val="en-US" w:eastAsia="en-US" w:bidi="en-US"/>
              </w:rPr>
            </w:pPr>
          </w:p>
        </w:tc>
        <w:tc>
          <w:tcPr>
            <w:tcW w:w="284" w:type="pct"/>
            <w:vMerge/>
          </w:tcPr>
          <w:p w:rsidR="00C5232D" w:rsidRPr="00C5232D" w:rsidRDefault="00C5232D" w:rsidP="009B604D">
            <w:pPr>
              <w:widowControl w:val="0"/>
              <w:suppressAutoHyphens/>
              <w:jc w:val="center"/>
              <w:rPr>
                <w:color w:val="000000"/>
                <w:sz w:val="20"/>
                <w:szCs w:val="20"/>
                <w:lang w:val="en-US" w:eastAsia="en-US" w:bidi="en-US"/>
              </w:rPr>
            </w:pPr>
          </w:p>
        </w:tc>
        <w:tc>
          <w:tcPr>
            <w:tcW w:w="425" w:type="pct"/>
            <w:vMerge/>
          </w:tcPr>
          <w:p w:rsidR="00C5232D" w:rsidRPr="00C5232D" w:rsidRDefault="00C5232D" w:rsidP="009B604D">
            <w:pPr>
              <w:widowControl w:val="0"/>
              <w:suppressAutoHyphens/>
              <w:jc w:val="center"/>
              <w:rPr>
                <w:color w:val="000000"/>
                <w:sz w:val="20"/>
                <w:szCs w:val="20"/>
                <w:lang w:val="en-US" w:eastAsia="en-US" w:bidi="en-US"/>
              </w:rPr>
            </w:pPr>
          </w:p>
        </w:tc>
      </w:tr>
      <w:tr w:rsidR="00C5232D" w:rsidRPr="00C5232D" w:rsidTr="00257415">
        <w:trPr>
          <w:trHeight w:val="211"/>
        </w:trPr>
        <w:tc>
          <w:tcPr>
            <w:tcW w:w="265" w:type="pct"/>
          </w:tcPr>
          <w:p w:rsidR="00C5232D" w:rsidRPr="00C5232D" w:rsidRDefault="00C5232D" w:rsidP="009B604D">
            <w:pPr>
              <w:widowControl w:val="0"/>
              <w:suppressAutoHyphens/>
              <w:jc w:val="center"/>
              <w:rPr>
                <w:color w:val="000000"/>
                <w:sz w:val="20"/>
                <w:szCs w:val="20"/>
                <w:lang w:val="en-US" w:eastAsia="en-US" w:bidi="en-US"/>
              </w:rPr>
            </w:pPr>
          </w:p>
        </w:tc>
        <w:tc>
          <w:tcPr>
            <w:tcW w:w="4026" w:type="pct"/>
            <w:gridSpan w:val="4"/>
          </w:tcPr>
          <w:p w:rsidR="00C5232D" w:rsidRPr="00C5232D" w:rsidRDefault="00C5232D" w:rsidP="009B604D">
            <w:pPr>
              <w:widowControl w:val="0"/>
              <w:suppressAutoHyphens/>
              <w:jc w:val="center"/>
              <w:rPr>
                <w:color w:val="000000"/>
                <w:sz w:val="20"/>
                <w:szCs w:val="20"/>
                <w:lang w:eastAsia="en-US" w:bidi="en-US"/>
              </w:rPr>
            </w:pPr>
            <w:r w:rsidRPr="00C5232D">
              <w:rPr>
                <w:color w:val="000000"/>
                <w:sz w:val="20"/>
                <w:szCs w:val="20"/>
                <w:lang w:eastAsia="en-US" w:bidi="en-US"/>
              </w:rPr>
              <w:t>Итого:</w:t>
            </w:r>
          </w:p>
        </w:tc>
        <w:tc>
          <w:tcPr>
            <w:tcW w:w="284" w:type="pct"/>
          </w:tcPr>
          <w:p w:rsidR="00C5232D" w:rsidRPr="00C5232D" w:rsidRDefault="00C5232D" w:rsidP="009B604D">
            <w:pPr>
              <w:widowControl w:val="0"/>
              <w:suppressAutoHyphens/>
              <w:rPr>
                <w:color w:val="000000"/>
                <w:sz w:val="20"/>
                <w:szCs w:val="20"/>
                <w:lang w:eastAsia="en-US" w:bidi="en-US"/>
              </w:rPr>
            </w:pPr>
          </w:p>
        </w:tc>
        <w:tc>
          <w:tcPr>
            <w:tcW w:w="425" w:type="pct"/>
          </w:tcPr>
          <w:p w:rsidR="00C5232D" w:rsidRPr="00C5232D" w:rsidRDefault="00C5232D" w:rsidP="009B604D">
            <w:pPr>
              <w:widowControl w:val="0"/>
              <w:suppressAutoHyphens/>
              <w:rPr>
                <w:color w:val="000000"/>
                <w:sz w:val="20"/>
                <w:szCs w:val="20"/>
                <w:lang w:eastAsia="en-US" w:bidi="en-US"/>
              </w:rPr>
            </w:pPr>
            <w:r w:rsidRPr="00C5232D">
              <w:rPr>
                <w:color w:val="000000"/>
                <w:sz w:val="20"/>
                <w:szCs w:val="20"/>
                <w:lang w:eastAsia="en-US" w:bidi="en-US"/>
              </w:rPr>
              <w:t xml:space="preserve">206 640 </w:t>
            </w:r>
            <w:proofErr w:type="spellStart"/>
            <w:r w:rsidRPr="00C5232D">
              <w:rPr>
                <w:color w:val="000000"/>
                <w:sz w:val="20"/>
                <w:szCs w:val="20"/>
                <w:lang w:eastAsia="en-US" w:bidi="en-US"/>
              </w:rPr>
              <w:t>шт</w:t>
            </w:r>
            <w:proofErr w:type="spellEnd"/>
          </w:p>
        </w:tc>
      </w:tr>
    </w:tbl>
    <w:p w:rsidR="006E787B" w:rsidRDefault="006E787B" w:rsidP="006E787B">
      <w:pPr>
        <w:widowControl w:val="0"/>
        <w:tabs>
          <w:tab w:val="left" w:pos="708"/>
        </w:tabs>
        <w:suppressAutoHyphens/>
        <w:autoSpaceDE w:val="0"/>
        <w:autoSpaceDN w:val="0"/>
        <w:ind w:firstLine="709"/>
        <w:jc w:val="center"/>
        <w:textAlignment w:val="baseline"/>
        <w:rPr>
          <w:rFonts w:eastAsia="Lucida Sans Unicode"/>
          <w:b/>
          <w:kern w:val="3"/>
        </w:rPr>
      </w:pPr>
    </w:p>
    <w:p w:rsidR="00C5232D" w:rsidRDefault="00C5232D" w:rsidP="006E787B">
      <w:pPr>
        <w:widowControl w:val="0"/>
        <w:tabs>
          <w:tab w:val="left" w:pos="708"/>
        </w:tabs>
        <w:suppressAutoHyphens/>
        <w:autoSpaceDE w:val="0"/>
        <w:autoSpaceDN w:val="0"/>
        <w:ind w:firstLine="709"/>
        <w:jc w:val="center"/>
        <w:textAlignment w:val="baseline"/>
        <w:rPr>
          <w:rFonts w:eastAsia="Lucida Sans Unicode"/>
          <w:b/>
          <w:kern w:val="3"/>
        </w:rPr>
      </w:pPr>
    </w:p>
    <w:p w:rsidR="006E787B" w:rsidRPr="00A631B9" w:rsidRDefault="006E787B" w:rsidP="006E787B">
      <w:pPr>
        <w:widowControl w:val="0"/>
        <w:tabs>
          <w:tab w:val="left" w:pos="708"/>
        </w:tabs>
        <w:suppressAutoHyphens/>
        <w:autoSpaceDE w:val="0"/>
        <w:autoSpaceDN w:val="0"/>
        <w:ind w:firstLine="709"/>
        <w:jc w:val="center"/>
        <w:textAlignment w:val="baseline"/>
        <w:rPr>
          <w:rFonts w:eastAsia="Lucida Sans Unicode"/>
          <w:b/>
          <w:kern w:val="3"/>
        </w:rPr>
      </w:pPr>
      <w:r w:rsidRPr="00A631B9">
        <w:rPr>
          <w:rFonts w:eastAsia="Lucida Sans Unicode"/>
          <w:b/>
          <w:kern w:val="3"/>
        </w:rPr>
        <w:t>Наименование, характеристики и количество поставляемых товаров</w:t>
      </w:r>
    </w:p>
    <w:p w:rsidR="006E787B" w:rsidRPr="00A631B9" w:rsidRDefault="006E787B" w:rsidP="006E787B">
      <w:pPr>
        <w:pStyle w:val="ConsPlusNormal"/>
        <w:keepNext/>
        <w:keepLines/>
        <w:jc w:val="both"/>
        <w:rPr>
          <w:rFonts w:ascii="Times New Roman" w:hAnsi="Times New Roman" w:cs="Times New Roman"/>
        </w:rPr>
      </w:pPr>
      <w:r w:rsidRPr="00A631B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w:t>
      </w:r>
      <w:bookmarkStart w:id="0" w:name="_GoBack"/>
      <w:r w:rsidRPr="00A631B9">
        <w:rPr>
          <w:rFonts w:ascii="Times New Roman" w:hAnsi="Times New Roman" w:cs="Times New Roman"/>
        </w:rPr>
        <w:t>т</w:t>
      </w:r>
      <w:bookmarkEnd w:id="0"/>
      <w:r w:rsidRPr="00A631B9">
        <w:rPr>
          <w:rFonts w:ascii="Times New Roman" w:hAnsi="Times New Roman" w:cs="Times New Roman"/>
        </w:rPr>
        <w:t>ва Российской Федерации от 30 декабря 2005 г. № 2347-р.</w:t>
      </w:r>
    </w:p>
    <w:sectPr w:rsidR="006E787B" w:rsidRPr="00A631B9" w:rsidSect="006E787B">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49" w:rsidRDefault="004E6E49" w:rsidP="00D7115C">
      <w:r>
        <w:separator/>
      </w:r>
    </w:p>
  </w:endnote>
  <w:endnote w:type="continuationSeparator" w:id="0">
    <w:p w:rsidR="004E6E49" w:rsidRDefault="004E6E4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49" w:rsidRDefault="004E6E49" w:rsidP="00D7115C">
      <w:r>
        <w:separator/>
      </w:r>
    </w:p>
  </w:footnote>
  <w:footnote w:type="continuationSeparator" w:id="0">
    <w:p w:rsidR="004E6E49" w:rsidRDefault="004E6E49" w:rsidP="00D7115C">
      <w:r>
        <w:continuationSeparator/>
      </w:r>
    </w:p>
  </w:footnote>
  <w:footnote w:id="1">
    <w:p w:rsidR="00C5232D" w:rsidRDefault="00C5232D" w:rsidP="00C5232D">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C5232D" w:rsidRDefault="00C5232D" w:rsidP="002C1277">
      <w:pPr>
        <w:pStyle w:val="a3"/>
      </w:pPr>
      <w:r>
        <w:rPr>
          <w:vertAlign w:val="superscript"/>
        </w:rPr>
        <w:t>2</w:t>
      </w:r>
      <w:r>
        <w:t xml:space="preserve"> Вносить изменения в наименования показателей не допускается.</w:t>
      </w:r>
    </w:p>
  </w:footnote>
  <w:footnote w:id="3">
    <w:p w:rsidR="00C5232D" w:rsidRDefault="00C5232D" w:rsidP="002C1277">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E621C"/>
    <w:rsid w:val="00235DA7"/>
    <w:rsid w:val="00240B28"/>
    <w:rsid w:val="00257415"/>
    <w:rsid w:val="002B471D"/>
    <w:rsid w:val="002C1277"/>
    <w:rsid w:val="002C1B5B"/>
    <w:rsid w:val="00310864"/>
    <w:rsid w:val="003210F2"/>
    <w:rsid w:val="00386012"/>
    <w:rsid w:val="003D486E"/>
    <w:rsid w:val="00427C62"/>
    <w:rsid w:val="00450CFE"/>
    <w:rsid w:val="004528B9"/>
    <w:rsid w:val="00457089"/>
    <w:rsid w:val="0046492C"/>
    <w:rsid w:val="004667AA"/>
    <w:rsid w:val="00466F6A"/>
    <w:rsid w:val="004D497F"/>
    <w:rsid w:val="004E6E49"/>
    <w:rsid w:val="004F2140"/>
    <w:rsid w:val="00523837"/>
    <w:rsid w:val="00585EDA"/>
    <w:rsid w:val="005935A0"/>
    <w:rsid w:val="005D4418"/>
    <w:rsid w:val="005E0778"/>
    <w:rsid w:val="00632245"/>
    <w:rsid w:val="006A3425"/>
    <w:rsid w:val="006E787B"/>
    <w:rsid w:val="00706EF7"/>
    <w:rsid w:val="007214BD"/>
    <w:rsid w:val="007A5900"/>
    <w:rsid w:val="007C105E"/>
    <w:rsid w:val="007F2A0B"/>
    <w:rsid w:val="00852E8C"/>
    <w:rsid w:val="00890985"/>
    <w:rsid w:val="008A00DE"/>
    <w:rsid w:val="008A35F0"/>
    <w:rsid w:val="008F2AD3"/>
    <w:rsid w:val="009226AD"/>
    <w:rsid w:val="009A4C9B"/>
    <w:rsid w:val="009B3E5B"/>
    <w:rsid w:val="009B63B2"/>
    <w:rsid w:val="00A33FAD"/>
    <w:rsid w:val="00A520C7"/>
    <w:rsid w:val="00AC04AF"/>
    <w:rsid w:val="00AF1D6E"/>
    <w:rsid w:val="00B201AE"/>
    <w:rsid w:val="00B45B9E"/>
    <w:rsid w:val="00B82A3E"/>
    <w:rsid w:val="00BA2658"/>
    <w:rsid w:val="00BB7977"/>
    <w:rsid w:val="00BC42EC"/>
    <w:rsid w:val="00C0005A"/>
    <w:rsid w:val="00C1613C"/>
    <w:rsid w:val="00C34D1D"/>
    <w:rsid w:val="00C508C6"/>
    <w:rsid w:val="00C5232D"/>
    <w:rsid w:val="00C87CBF"/>
    <w:rsid w:val="00CA3011"/>
    <w:rsid w:val="00CB0C96"/>
    <w:rsid w:val="00CB473D"/>
    <w:rsid w:val="00CF42D3"/>
    <w:rsid w:val="00D01082"/>
    <w:rsid w:val="00D7115C"/>
    <w:rsid w:val="00D8164D"/>
    <w:rsid w:val="00D84C03"/>
    <w:rsid w:val="00D865A8"/>
    <w:rsid w:val="00DC4D5C"/>
    <w:rsid w:val="00E21973"/>
    <w:rsid w:val="00E35808"/>
    <w:rsid w:val="00ED4626"/>
    <w:rsid w:val="00F226A3"/>
    <w:rsid w:val="00F34F37"/>
    <w:rsid w:val="00F7376C"/>
    <w:rsid w:val="00F77189"/>
    <w:rsid w:val="00FA700E"/>
    <w:rsid w:val="00FB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52</cp:revision>
  <dcterms:created xsi:type="dcterms:W3CDTF">2020-08-12T05:43:00Z</dcterms:created>
  <dcterms:modified xsi:type="dcterms:W3CDTF">2021-11-12T10:18:00Z</dcterms:modified>
</cp:coreProperties>
</file>