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C2" w:rsidRDefault="006406C2" w:rsidP="006406C2">
      <w:pPr>
        <w:tabs>
          <w:tab w:val="left" w:pos="567"/>
          <w:tab w:val="left" w:pos="709"/>
        </w:tabs>
        <w:autoSpaceDE w:val="0"/>
        <w:autoSpaceDN w:val="0"/>
        <w:adjustRightInd w:val="0"/>
        <w:jc w:val="right"/>
        <w:rPr>
          <w:szCs w:val="26"/>
        </w:rPr>
      </w:pPr>
      <w:r w:rsidRPr="00BC2A41">
        <w:rPr>
          <w:szCs w:val="26"/>
        </w:rPr>
        <w:t>Приложение № 1</w:t>
      </w:r>
      <w:r>
        <w:rPr>
          <w:szCs w:val="26"/>
        </w:rPr>
        <w:t xml:space="preserve"> </w:t>
      </w:r>
    </w:p>
    <w:p w:rsidR="006406C2" w:rsidRPr="006406C2" w:rsidRDefault="006406C2" w:rsidP="006406C2">
      <w:pPr>
        <w:tabs>
          <w:tab w:val="left" w:pos="567"/>
          <w:tab w:val="left" w:pos="709"/>
        </w:tabs>
        <w:autoSpaceDE w:val="0"/>
        <w:autoSpaceDN w:val="0"/>
        <w:adjustRightInd w:val="0"/>
        <w:jc w:val="right"/>
        <w:rPr>
          <w:szCs w:val="26"/>
        </w:rPr>
      </w:pPr>
      <w:r w:rsidRPr="00BC2A41">
        <w:rPr>
          <w:szCs w:val="26"/>
        </w:rPr>
        <w:t>к извещению об осуществлении закупки</w:t>
      </w:r>
    </w:p>
    <w:p w:rsidR="006406C2" w:rsidRDefault="006406C2" w:rsidP="00112062">
      <w:pPr>
        <w:keepNext/>
        <w:ind w:left="-284" w:right="283" w:firstLine="710"/>
        <w:jc w:val="center"/>
        <w:rPr>
          <w:b/>
        </w:rPr>
      </w:pPr>
    </w:p>
    <w:p w:rsidR="00635236" w:rsidRPr="00096B42" w:rsidRDefault="006406C2" w:rsidP="00112062">
      <w:pPr>
        <w:keepNext/>
        <w:ind w:left="-284" w:right="283" w:firstLine="710"/>
        <w:jc w:val="center"/>
        <w:rPr>
          <w:b/>
        </w:rPr>
      </w:pPr>
      <w:r>
        <w:rPr>
          <w:b/>
        </w:rPr>
        <w:t>Описание объекта закупки</w:t>
      </w:r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6406C2">
        <w:rPr>
          <w:b/>
        </w:rPr>
        <w:t>в</w:t>
      </w:r>
      <w:r w:rsidR="006406C2" w:rsidRPr="006406C2">
        <w:rPr>
          <w:b/>
        </w:rPr>
        <w:t>ыполнение работ по обеспечению граждан протезами верхних конечностей</w:t>
      </w:r>
      <w:bookmarkStart w:id="0" w:name="_GoBack"/>
      <w:bookmarkEnd w:id="0"/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DC0A06" w:rsidRDefault="00DC0A06" w:rsidP="00DC0A06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Описание объекта закупки:</w:t>
      </w:r>
      <w:r>
        <w:t xml:space="preserve"> </w:t>
      </w:r>
    </w:p>
    <w:p w:rsidR="008F5510" w:rsidRPr="00C84014" w:rsidRDefault="008F5510" w:rsidP="008F5510">
      <w:pPr>
        <w:pStyle w:val="a6"/>
        <w:ind w:right="-427" w:firstLine="567"/>
        <w:jc w:val="both"/>
      </w:pPr>
      <w:r w:rsidRPr="00C84014">
        <w:t>Выполнение работ по обеспечению граждан протезами верхних конечностей.</w:t>
      </w:r>
    </w:p>
    <w:p w:rsidR="008F5510" w:rsidRPr="00C84014" w:rsidRDefault="008F5510" w:rsidP="008F5510">
      <w:pPr>
        <w:pStyle w:val="31"/>
        <w:ind w:right="-427" w:firstLine="567"/>
        <w:rPr>
          <w:b/>
          <w:sz w:val="24"/>
          <w:szCs w:val="24"/>
        </w:rPr>
      </w:pPr>
      <w:r w:rsidRPr="00C84014">
        <w:rPr>
          <w:sz w:val="24"/>
          <w:szCs w:val="24"/>
        </w:rPr>
        <w:t>Протез верхней конечности –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</w:r>
    </w:p>
    <w:p w:rsidR="008F5510" w:rsidRPr="00C84014" w:rsidRDefault="008F5510" w:rsidP="008F5510">
      <w:pPr>
        <w:pStyle w:val="31"/>
        <w:ind w:right="-427" w:firstLine="567"/>
        <w:rPr>
          <w:rFonts w:eastAsia="Arial Unicode MS"/>
          <w:b/>
          <w:sz w:val="24"/>
          <w:szCs w:val="24"/>
        </w:rPr>
      </w:pPr>
      <w:r w:rsidRPr="00C84014">
        <w:rPr>
          <w:rFonts w:eastAsia="Arial Unicode MS"/>
          <w:sz w:val="24"/>
          <w:szCs w:val="24"/>
        </w:rPr>
        <w:t>Работы должны включать в себя обеспечение следующими изделиями: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806"/>
        <w:gridCol w:w="3650"/>
        <w:gridCol w:w="2257"/>
        <w:gridCol w:w="1008"/>
      </w:tblGrid>
      <w:tr w:rsidR="008F5510" w:rsidRPr="009B6206" w:rsidTr="00C10C20">
        <w:tc>
          <w:tcPr>
            <w:tcW w:w="567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1809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b/>
                <w:sz w:val="22"/>
                <w:szCs w:val="22"/>
              </w:rPr>
              <w:t>Номер вида технического средства реабилитации (изделия) (Приказ от 13 февраля 2018 г. № 86н)</w:t>
            </w:r>
          </w:p>
        </w:tc>
        <w:tc>
          <w:tcPr>
            <w:tcW w:w="3686" w:type="dxa"/>
          </w:tcPr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B6206">
              <w:rPr>
                <w:b/>
                <w:sz w:val="22"/>
                <w:szCs w:val="22"/>
              </w:rPr>
              <w:t>Наименование товара, работы, услуги</w:t>
            </w: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b/>
                <w:sz w:val="22"/>
                <w:szCs w:val="22"/>
              </w:rPr>
              <w:t>Наименование по коду КТРУ, код КТРУ/ ОКПД2</w:t>
            </w:r>
          </w:p>
        </w:tc>
        <w:tc>
          <w:tcPr>
            <w:tcW w:w="1014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rFonts w:eastAsia="Arial Unicode MS"/>
                <w:b/>
                <w:sz w:val="22"/>
                <w:szCs w:val="22"/>
              </w:rPr>
              <w:t>Кол-во, шт.</w:t>
            </w:r>
          </w:p>
        </w:tc>
      </w:tr>
      <w:tr w:rsidR="008F5510" w:rsidRPr="009B6206" w:rsidTr="00C10C20">
        <w:tc>
          <w:tcPr>
            <w:tcW w:w="567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9B620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8-01-02</w:t>
            </w:r>
          </w:p>
        </w:tc>
        <w:tc>
          <w:tcPr>
            <w:tcW w:w="3686" w:type="dxa"/>
          </w:tcPr>
          <w:p w:rsidR="008F5510" w:rsidRPr="005F5032" w:rsidRDefault="008F5510" w:rsidP="00C10C20">
            <w:pPr>
              <w:ind w:right="-427"/>
              <w:rPr>
                <w:color w:val="000000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 xml:space="preserve">Протез кисти косметический, в том числе при вычленении и частичном </w:t>
            </w:r>
          </w:p>
          <w:p w:rsidR="008F5510" w:rsidRPr="009B6206" w:rsidRDefault="008F5510" w:rsidP="00C10C20">
            <w:pPr>
              <w:pStyle w:val="a6"/>
              <w:jc w:val="both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вычленении кисти</w:t>
            </w:r>
          </w:p>
        </w:tc>
        <w:tc>
          <w:tcPr>
            <w:tcW w:w="2268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sz w:val="22"/>
                <w:szCs w:val="22"/>
              </w:rPr>
              <w:t>32.50.22.121</w:t>
            </w:r>
          </w:p>
        </w:tc>
        <w:tc>
          <w:tcPr>
            <w:tcW w:w="1014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8F5510" w:rsidRPr="009B6206" w:rsidTr="00C10C20">
        <w:tc>
          <w:tcPr>
            <w:tcW w:w="567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809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8-01-03</w:t>
            </w:r>
          </w:p>
        </w:tc>
        <w:tc>
          <w:tcPr>
            <w:tcW w:w="3686" w:type="dxa"/>
          </w:tcPr>
          <w:p w:rsidR="008F5510" w:rsidRDefault="008F5510" w:rsidP="00C10C20">
            <w:pPr>
              <w:pStyle w:val="a6"/>
              <w:jc w:val="both"/>
              <w:rPr>
                <w:bCs/>
                <w:sz w:val="22"/>
                <w:szCs w:val="22"/>
                <w:lang w:eastAsia="en-US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косметический</w:t>
            </w:r>
          </w:p>
        </w:tc>
        <w:tc>
          <w:tcPr>
            <w:tcW w:w="2268" w:type="dxa"/>
          </w:tcPr>
          <w:p w:rsidR="008F5510" w:rsidRPr="006A3C14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sz w:val="22"/>
                <w:szCs w:val="22"/>
              </w:rPr>
              <w:t>32.50.22.121</w:t>
            </w:r>
          </w:p>
        </w:tc>
        <w:tc>
          <w:tcPr>
            <w:tcW w:w="1014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8F5510" w:rsidRPr="009B6206" w:rsidTr="00C10C20">
        <w:tc>
          <w:tcPr>
            <w:tcW w:w="567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809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8-02-01</w:t>
            </w:r>
          </w:p>
        </w:tc>
        <w:tc>
          <w:tcPr>
            <w:tcW w:w="3686" w:type="dxa"/>
          </w:tcPr>
          <w:p w:rsidR="008F5510" w:rsidRDefault="008F5510" w:rsidP="00C10C20">
            <w:pPr>
              <w:pStyle w:val="a6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2268" w:type="dxa"/>
          </w:tcPr>
          <w:p w:rsidR="008F5510" w:rsidRPr="006A3C14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sz w:val="22"/>
                <w:szCs w:val="22"/>
              </w:rPr>
              <w:t>32.50.22.121</w:t>
            </w:r>
          </w:p>
        </w:tc>
        <w:tc>
          <w:tcPr>
            <w:tcW w:w="1014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</w:tr>
      <w:tr w:rsidR="008F5510" w:rsidRPr="009B6206" w:rsidTr="00C10C20">
        <w:tc>
          <w:tcPr>
            <w:tcW w:w="567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09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8-02-02</w:t>
            </w:r>
          </w:p>
        </w:tc>
        <w:tc>
          <w:tcPr>
            <w:tcW w:w="3686" w:type="dxa"/>
          </w:tcPr>
          <w:p w:rsidR="008F5510" w:rsidRDefault="008F5510" w:rsidP="00C10C20">
            <w:pPr>
              <w:pStyle w:val="a6"/>
              <w:jc w:val="both"/>
              <w:rPr>
                <w:bCs/>
                <w:sz w:val="22"/>
                <w:szCs w:val="22"/>
                <w:lang w:eastAsia="en-US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рабочий</w:t>
            </w:r>
          </w:p>
        </w:tc>
        <w:tc>
          <w:tcPr>
            <w:tcW w:w="2268" w:type="dxa"/>
          </w:tcPr>
          <w:p w:rsidR="008F5510" w:rsidRPr="006A3C14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sz w:val="22"/>
                <w:szCs w:val="22"/>
              </w:rPr>
              <w:t>32.50.22.121</w:t>
            </w:r>
          </w:p>
        </w:tc>
        <w:tc>
          <w:tcPr>
            <w:tcW w:w="1014" w:type="dxa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8F5510" w:rsidRPr="009B6206" w:rsidTr="00C10C20">
        <w:tc>
          <w:tcPr>
            <w:tcW w:w="8330" w:type="dxa"/>
            <w:gridSpan w:val="4"/>
          </w:tcPr>
          <w:p w:rsidR="008F5510" w:rsidRPr="006A3C14" w:rsidRDefault="008F5510" w:rsidP="00C10C20">
            <w:pPr>
              <w:pStyle w:val="a6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5F503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14" w:type="dxa"/>
          </w:tcPr>
          <w:p w:rsidR="008F5510" w:rsidRPr="00C84014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37</w:t>
            </w:r>
          </w:p>
        </w:tc>
      </w:tr>
    </w:tbl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>Протезы верхних конечностей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8F5510" w:rsidRPr="00C84014" w:rsidRDefault="008F5510" w:rsidP="008F5510">
      <w:pPr>
        <w:shd w:val="clear" w:color="auto" w:fill="FFFFFF"/>
        <w:ind w:right="-427" w:firstLine="567"/>
        <w:jc w:val="both"/>
      </w:pPr>
      <w:r w:rsidRPr="00C84014">
        <w:t>В соответствии с Национальным стандартом Российской Федерации ГОСТ Р ИСО 22523-2007 «Протезы конечностей и ортезы наружные. Требования и методы испытаний» 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конечности.</w:t>
      </w:r>
    </w:p>
    <w:p w:rsidR="008F5510" w:rsidRPr="00C84014" w:rsidRDefault="008F5510" w:rsidP="008F5510">
      <w:pPr>
        <w:shd w:val="clear" w:color="auto" w:fill="FFFFFF"/>
        <w:ind w:right="-427" w:firstLine="567"/>
        <w:jc w:val="both"/>
      </w:pPr>
      <w:r w:rsidRPr="00C84014">
        <w:lastRenderedPageBreak/>
        <w:t>Протезы должны соответствовать требованиям Межгосударственных стандартов ГОСТ ISO 10993-1-2021, ГОСТ ISO 10993-5-2011, ГОСТ ISO 10993-10-2011 «Изделия медицинские. Оценка биологического действия медицинских изделий».</w:t>
      </w:r>
    </w:p>
    <w:p w:rsidR="008F5510" w:rsidRPr="00C84014" w:rsidRDefault="008F5510" w:rsidP="008F5510">
      <w:pPr>
        <w:shd w:val="clear" w:color="auto" w:fill="FFFFFF"/>
        <w:ind w:right="-427" w:firstLine="567"/>
        <w:jc w:val="both"/>
      </w:pPr>
      <w:r w:rsidRPr="00C84014">
        <w:t>Работы по обеспечению граждан протезами предусматривают индивидуальное изготовление, обучение пользованию, выдачу средства реабилитации.</w:t>
      </w:r>
    </w:p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>Выполнение работ должно осуществляться на основании направлений, выдаваемых Заказчиком.</w:t>
      </w:r>
    </w:p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>Выполняемые работы должны производиться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 xml:space="preserve">Возможны различные модификации в рамках заявленных характеристик. </w:t>
      </w:r>
    </w:p>
    <w:p w:rsidR="008F5510" w:rsidRPr="00C84014" w:rsidRDefault="008F5510" w:rsidP="008F5510">
      <w:pPr>
        <w:pStyle w:val="FR3"/>
        <w:widowControl/>
        <w:spacing w:line="240" w:lineRule="auto"/>
        <w:ind w:right="-427" w:firstLine="567"/>
        <w:rPr>
          <w:rFonts w:ascii="Times New Roman" w:eastAsia="Times New Roman" w:hAnsi="Times New Roman"/>
          <w:sz w:val="24"/>
          <w:szCs w:val="24"/>
        </w:rPr>
      </w:pPr>
      <w:r w:rsidRPr="00C84014">
        <w:rPr>
          <w:rFonts w:ascii="Times New Roman" w:eastAsia="Times New Roman" w:hAnsi="Times New Roman"/>
          <w:sz w:val="24"/>
          <w:szCs w:val="24"/>
        </w:rPr>
        <w:t>Приемные гильзы и крепления не должны вызывать потертостей, сдавливания, ущемления и наплывов мягких тканей, нарушений кровообращения и болевых ощущений при пользованиями изделиями. Материалы приемных гильз, контактирующие с телом человека, должны быть разрешены к применению Министерством здравоохранения РФ.</w:t>
      </w:r>
    </w:p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  <w:rPr>
          <w:rFonts w:eastAsia="Lucida Sans Unicode"/>
        </w:rPr>
      </w:pPr>
      <w:r w:rsidRPr="00C84014">
        <w:t>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</w:t>
      </w:r>
    </w:p>
    <w:p w:rsidR="008F5510" w:rsidRPr="00C84014" w:rsidRDefault="008F5510" w:rsidP="008F5510">
      <w:pPr>
        <w:pStyle w:val="FR3"/>
        <w:widowControl/>
        <w:spacing w:line="240" w:lineRule="auto"/>
        <w:ind w:right="-427" w:firstLine="567"/>
        <w:rPr>
          <w:rFonts w:ascii="Times New Roman" w:eastAsia="Lucida Sans Unicode" w:hAnsi="Times New Roman"/>
          <w:sz w:val="24"/>
          <w:szCs w:val="24"/>
        </w:rPr>
      </w:pPr>
      <w:r w:rsidRPr="00C84014">
        <w:rPr>
          <w:rFonts w:ascii="Times New Roman" w:eastAsia="Times New Roman" w:hAnsi="Times New Roman"/>
          <w:sz w:val="24"/>
          <w:szCs w:val="24"/>
        </w:rPr>
        <w:t xml:space="preserve">Узлы протезов должны быть стойкими к воздействию физиологических растворов (пота, мочи). </w:t>
      </w:r>
      <w:r w:rsidRPr="00C84014">
        <w:rPr>
          <w:rFonts w:ascii="Times New Roman" w:hAnsi="Times New Roman"/>
          <w:sz w:val="24"/>
          <w:szCs w:val="24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8F5510" w:rsidRPr="00C84014" w:rsidRDefault="008F5510" w:rsidP="008F5510">
      <w:pPr>
        <w:pStyle w:val="FR3"/>
        <w:widowControl/>
        <w:spacing w:line="240" w:lineRule="auto"/>
        <w:ind w:right="-427" w:firstLine="567"/>
        <w:rPr>
          <w:rFonts w:ascii="Times New Roman" w:eastAsia="Times New Roman" w:hAnsi="Times New Roman"/>
          <w:sz w:val="24"/>
          <w:szCs w:val="24"/>
        </w:rPr>
      </w:pPr>
      <w:r w:rsidRPr="00C84014">
        <w:rPr>
          <w:rFonts w:ascii="Times New Roman" w:eastAsia="Times New Roman" w:hAnsi="Times New Roman"/>
          <w:sz w:val="24"/>
          <w:szCs w:val="24"/>
        </w:rPr>
        <w:t>Косметический протез конечности должен выполнять форму и внешний вид отсутствующей ее части. Рабочий протез конечности должен осуществлять функцию крепления приспособлений для самообслуживания, крепления насадок для работ.</w:t>
      </w:r>
    </w:p>
    <w:p w:rsidR="008F5510" w:rsidRPr="00C84014" w:rsidRDefault="008F5510" w:rsidP="008F5510">
      <w:pPr>
        <w:pStyle w:val="FR3"/>
        <w:widowControl/>
        <w:spacing w:line="240" w:lineRule="auto"/>
        <w:ind w:right="-427" w:firstLine="567"/>
        <w:rPr>
          <w:rFonts w:ascii="Times New Roman" w:eastAsia="Times New Roman" w:hAnsi="Times New Roman"/>
          <w:sz w:val="24"/>
          <w:szCs w:val="24"/>
        </w:rPr>
      </w:pPr>
      <w:r w:rsidRPr="00C84014">
        <w:rPr>
          <w:rFonts w:ascii="Times New Roman" w:eastAsia="Times New Roman" w:hAnsi="Times New Roman"/>
          <w:sz w:val="24"/>
          <w:szCs w:val="24"/>
        </w:rPr>
        <w:t>Косметическая кисть должна восполнять внешний вид утраченной кисти и не иметь двигательных функций.</w:t>
      </w:r>
    </w:p>
    <w:p w:rsidR="008F5510" w:rsidRPr="00C84014" w:rsidRDefault="008F5510" w:rsidP="008F5510">
      <w:pPr>
        <w:pStyle w:val="FR3"/>
        <w:widowControl/>
        <w:spacing w:line="240" w:lineRule="auto"/>
        <w:ind w:right="-427" w:firstLine="567"/>
        <w:rPr>
          <w:rFonts w:ascii="Times New Roman" w:eastAsia="Times New Roman" w:hAnsi="Times New Roman"/>
          <w:sz w:val="24"/>
          <w:szCs w:val="24"/>
        </w:rPr>
      </w:pPr>
      <w:r w:rsidRPr="00C84014">
        <w:rPr>
          <w:rFonts w:ascii="Times New Roman" w:eastAsia="Times New Roman" w:hAnsi="Times New Roman"/>
          <w:sz w:val="24"/>
          <w:szCs w:val="24"/>
        </w:rPr>
        <w:t>К протезу верхней конечности должны быть предоставлены чехлы – 2 (два) штуки.</w:t>
      </w:r>
    </w:p>
    <w:p w:rsidR="008F5510" w:rsidRPr="00C84014" w:rsidRDefault="008F5510" w:rsidP="008F5510">
      <w:pPr>
        <w:pStyle w:val="FR3"/>
        <w:widowControl/>
        <w:tabs>
          <w:tab w:val="left" w:pos="567"/>
        </w:tabs>
        <w:spacing w:line="240" w:lineRule="auto"/>
        <w:ind w:right="-427" w:firstLine="567"/>
        <w:rPr>
          <w:rFonts w:ascii="Times New Roman" w:eastAsia="Times New Roman" w:hAnsi="Times New Roman"/>
          <w:sz w:val="24"/>
          <w:szCs w:val="24"/>
        </w:rPr>
      </w:pPr>
      <w:r w:rsidRPr="00C84014">
        <w:rPr>
          <w:rFonts w:ascii="Times New Roman" w:hAnsi="Times New Roman"/>
          <w:sz w:val="24"/>
          <w:szCs w:val="24"/>
        </w:rPr>
        <w:t xml:space="preserve"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  <w:r w:rsidRPr="00C840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014">
        <w:rPr>
          <w:rFonts w:ascii="Times New Roman" w:hAnsi="Times New Roman"/>
          <w:sz w:val="24"/>
          <w:szCs w:val="24"/>
        </w:rPr>
        <w:t>Металлические части должны быть изготовлены из коррозийно-стойких материалов или защищены от коррозии специальными покрытиями</w:t>
      </w:r>
    </w:p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>
        <w:t xml:space="preserve">Исполнитель обязан предоставить возможность обучения инвалидов правилам пользования протезами. </w:t>
      </w:r>
      <w:r w:rsidRPr="00C84014">
        <w:t>Работы по обеспечению граждан ТСР должны быть выполнены с надлежащим качеством и в установленные сроки. Выполнение работ должно осуществляться Исполнителем лично, без привлечения соисполнителей.</w:t>
      </w:r>
    </w:p>
    <w:p w:rsidR="008F5510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>Срок пользования протезами, в течение которого изделия сохраняют свои технические, качественные и функциональные характеристики должен составлять:</w:t>
      </w:r>
    </w:p>
    <w:p w:rsidR="008F5510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022"/>
        <w:gridCol w:w="2699"/>
      </w:tblGrid>
      <w:tr w:rsidR="008F5510" w:rsidRPr="009B6206" w:rsidTr="00C10C20">
        <w:trPr>
          <w:trHeight w:val="619"/>
        </w:trPr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6063" w:type="dxa"/>
          </w:tcPr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715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Срок службы</w:t>
            </w: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9B620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063" w:type="dxa"/>
          </w:tcPr>
          <w:p w:rsidR="008F5510" w:rsidRPr="009B6206" w:rsidRDefault="008F5510" w:rsidP="00C10C20">
            <w:pPr>
              <w:ind w:right="-427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715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8C1E56">
              <w:t>Не менее 3 месяцев</w:t>
            </w: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косметический</w:t>
            </w:r>
          </w:p>
        </w:tc>
        <w:tc>
          <w:tcPr>
            <w:tcW w:w="2715" w:type="dxa"/>
            <w:vMerge w:val="restart"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8C1E56">
              <w:t>Не менее 2 лет (для детей</w:t>
            </w:r>
            <w:r>
              <w:t xml:space="preserve"> </w:t>
            </w:r>
            <w:r w:rsidRPr="008C1E56">
              <w:t>- не менее 1 года)</w:t>
            </w: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2715" w:type="dxa"/>
            <w:vMerge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рабочий</w:t>
            </w:r>
          </w:p>
        </w:tc>
        <w:tc>
          <w:tcPr>
            <w:tcW w:w="2715" w:type="dxa"/>
            <w:vMerge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</w:p>
    <w:p w:rsidR="008F5510" w:rsidRDefault="008F5510" w:rsidP="008F5510">
      <w:pPr>
        <w:shd w:val="clear" w:color="auto" w:fill="FFFFFF"/>
        <w:ind w:right="-427" w:firstLine="567"/>
        <w:jc w:val="both"/>
      </w:pPr>
      <w:r w:rsidRPr="00C84014">
        <w:rPr>
          <w:b/>
        </w:rPr>
        <w:t>Требования к гарантийному сроку товара:</w:t>
      </w:r>
      <w:r w:rsidRPr="00C84014">
        <w:rPr>
          <w:color w:val="FF0000"/>
        </w:rPr>
        <w:t xml:space="preserve"> </w:t>
      </w:r>
      <w:r w:rsidRPr="00C84014">
        <w:t xml:space="preserve">гарантийный срок на протезы устанавливается со дня подписания Получателем акта </w:t>
      </w:r>
      <w:r>
        <w:t>выполненных работ</w:t>
      </w:r>
      <w:r w:rsidRPr="00C84014">
        <w:t xml:space="preserve"> 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6018"/>
        <w:gridCol w:w="2704"/>
      </w:tblGrid>
      <w:tr w:rsidR="008F5510" w:rsidRPr="009B6206" w:rsidTr="00C10C20">
        <w:trPr>
          <w:trHeight w:val="619"/>
        </w:trPr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6206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6063" w:type="dxa"/>
          </w:tcPr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715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Гарантийный срок</w:t>
            </w:r>
          </w:p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 w:rsidRPr="009B620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6063" w:type="dxa"/>
          </w:tcPr>
          <w:p w:rsidR="008F5510" w:rsidRPr="009B6206" w:rsidRDefault="008F5510" w:rsidP="00C10C20">
            <w:pPr>
              <w:ind w:right="-427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715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t>2</w:t>
            </w:r>
            <w:r w:rsidRPr="008C1E56">
              <w:t xml:space="preserve"> месяц</w:t>
            </w:r>
            <w:r>
              <w:t>а</w:t>
            </w: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косметический</w:t>
            </w:r>
          </w:p>
        </w:tc>
        <w:tc>
          <w:tcPr>
            <w:tcW w:w="2715" w:type="dxa"/>
            <w:vMerge w:val="restart"/>
          </w:tcPr>
          <w:p w:rsidR="008F5510" w:rsidRDefault="008F5510" w:rsidP="00C10C20">
            <w:pPr>
              <w:pStyle w:val="a6"/>
              <w:jc w:val="center"/>
            </w:pPr>
          </w:p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t>7</w:t>
            </w:r>
            <w:r w:rsidRPr="008C1E56">
              <w:t xml:space="preserve"> </w:t>
            </w:r>
            <w:r>
              <w:t>месяцев</w:t>
            </w: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2715" w:type="dxa"/>
            <w:vMerge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5510" w:rsidRPr="009B6206" w:rsidTr="00C10C20">
        <w:tc>
          <w:tcPr>
            <w:tcW w:w="566" w:type="dxa"/>
          </w:tcPr>
          <w:p w:rsidR="008F5510" w:rsidRPr="009B6206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6063" w:type="dxa"/>
          </w:tcPr>
          <w:p w:rsidR="008F5510" w:rsidRPr="006A3C14" w:rsidRDefault="008F5510" w:rsidP="00C10C20">
            <w:pPr>
              <w:pStyle w:val="a6"/>
              <w:rPr>
                <w:rFonts w:eastAsia="Arial Unicode MS"/>
                <w:sz w:val="22"/>
                <w:szCs w:val="22"/>
              </w:rPr>
            </w:pPr>
            <w:r w:rsidRPr="005F5032">
              <w:rPr>
                <w:color w:val="000000"/>
                <w:sz w:val="22"/>
                <w:szCs w:val="22"/>
              </w:rPr>
              <w:t>Протез предплечья рабочий</w:t>
            </w:r>
          </w:p>
        </w:tc>
        <w:tc>
          <w:tcPr>
            <w:tcW w:w="2715" w:type="dxa"/>
            <w:vMerge/>
          </w:tcPr>
          <w:p w:rsidR="008F5510" w:rsidRDefault="008F5510" w:rsidP="00C10C20">
            <w:pPr>
              <w:pStyle w:val="a6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8F5510" w:rsidRPr="00C84014" w:rsidRDefault="008F5510" w:rsidP="008F5510">
      <w:pPr>
        <w:shd w:val="clear" w:color="auto" w:fill="FFFFFF"/>
        <w:tabs>
          <w:tab w:val="left" w:pos="7176"/>
        </w:tabs>
        <w:ind w:right="-427" w:firstLine="567"/>
        <w:jc w:val="both"/>
      </w:pPr>
      <w:r w:rsidRPr="00C84014">
        <w:t xml:space="preserve">Гарантийный ремонт протезов или </w:t>
      </w:r>
      <w:r w:rsidRPr="00C84014">
        <w:rPr>
          <w:bCs/>
          <w:spacing w:val="-4"/>
        </w:rPr>
        <w:t xml:space="preserve">замена изделий в связи с обеспечением изделиями ненадлежащего качества или в связи с неправильным определением размера изделия </w:t>
      </w:r>
      <w:r w:rsidRPr="00C84014">
        <w:t xml:space="preserve">должен осуществляться за счет Исполнителя в период гарантийного срока. </w:t>
      </w:r>
    </w:p>
    <w:p w:rsidR="008F5510" w:rsidRPr="00C84014" w:rsidRDefault="008F5510" w:rsidP="008F5510">
      <w:pPr>
        <w:shd w:val="clear" w:color="auto" w:fill="FFFFFF"/>
        <w:ind w:right="-427" w:firstLine="567"/>
        <w:jc w:val="both"/>
      </w:pPr>
      <w:r w:rsidRPr="00C84014">
        <w:t xml:space="preserve">Протезы должны быть </w:t>
      </w:r>
      <w:proofErr w:type="spellStart"/>
      <w:r w:rsidRPr="00C84014">
        <w:t>ремонтопригодными</w:t>
      </w:r>
      <w:proofErr w:type="spellEnd"/>
      <w:r w:rsidRPr="00C84014">
        <w:t xml:space="preserve"> в течение всего срока службы.</w:t>
      </w:r>
    </w:p>
    <w:p w:rsidR="008F5510" w:rsidRDefault="008F5510" w:rsidP="008F5510">
      <w:pPr>
        <w:shd w:val="clear" w:color="auto" w:fill="FFFFFF"/>
        <w:ind w:firstLine="567"/>
        <w:jc w:val="both"/>
      </w:pPr>
      <w:r>
        <w:rPr>
          <w:b/>
        </w:rPr>
        <w:t xml:space="preserve">Место </w:t>
      </w:r>
      <w:r>
        <w:rPr>
          <w:rFonts w:eastAsia="Times New Roman CYR"/>
          <w:b/>
          <w:kern w:val="24"/>
        </w:rPr>
        <w:t>выполнения работ</w:t>
      </w:r>
      <w:r>
        <w:rPr>
          <w:b/>
          <w:kern w:val="24"/>
        </w:rPr>
        <w:t>:</w:t>
      </w:r>
      <w:r>
        <w:rPr>
          <w:b/>
        </w:rPr>
        <w:t xml:space="preserve"> </w:t>
      </w:r>
      <w:r>
        <w:rPr>
          <w:kern w:val="24"/>
        </w:rPr>
        <w:t>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>
        <w:t>.</w:t>
      </w:r>
    </w:p>
    <w:p w:rsidR="008F5510" w:rsidRDefault="008F5510" w:rsidP="008F5510">
      <w:pPr>
        <w:tabs>
          <w:tab w:val="left" w:pos="1200"/>
        </w:tabs>
        <w:ind w:firstLine="567"/>
        <w:jc w:val="both"/>
      </w:pPr>
      <w:r>
        <w:t>Пункты выдачи Изделий, организованные Исполнителем,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F5510" w:rsidRDefault="008F5510" w:rsidP="008F5510">
      <w:pPr>
        <w:tabs>
          <w:tab w:val="left" w:pos="1200"/>
        </w:tabs>
        <w:ind w:firstLine="567"/>
        <w:jc w:val="both"/>
      </w:pPr>
      <w:r>
        <w:t>График работы пункта(</w:t>
      </w:r>
      <w:proofErr w:type="spellStart"/>
      <w:r>
        <w:t>ов</w:t>
      </w:r>
      <w:proofErr w:type="spellEnd"/>
      <w:r>
        <w:t>) выдачи должен обеспечивать возможность передачи Изделий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Исполнителя для возможности предоставления Получателям консультаций по техническим характеристикам Изделий. Пункты выдачи Изделий должны соответствовать требованиям и стандартам, предъявляемым к условиям хранения изделий медицинского и санитарно-гигиенического назначения.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 xml:space="preserve">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 xml:space="preserve">Пункты приема должны иметь отдельный вход с улицы, зону ожидания Получателей, оборудованную мебелью для ожидания в сидячем положении. Максимальное время ожидания Получателей в очереди не должно превышать 15 минут. 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 xml:space="preserve"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</w:t>
      </w:r>
      <w:r>
        <w:rPr>
          <w:kern w:val="24"/>
        </w:rPr>
        <w:lastRenderedPageBreak/>
        <w:t>обслуживания, в проходах, на путях эвакуации и других помещениях, не предназначенных для хранения.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- возможность беспрепятственного входа в объекты и выхода из них;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kern w:val="24"/>
        </w:rPr>
        <w:t>ассистивных</w:t>
      </w:r>
      <w:proofErr w:type="spellEnd"/>
      <w:r>
        <w:rPr>
          <w:kern w:val="24"/>
        </w:rPr>
        <w:t xml:space="preserve"> и вспомогательных технологий, а также сменного кресла-коляски;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F5510" w:rsidRDefault="008F5510" w:rsidP="008F5510">
      <w:pPr>
        <w:ind w:firstLine="567"/>
        <w:jc w:val="both"/>
        <w:rPr>
          <w:kern w:val="24"/>
        </w:rPr>
      </w:pPr>
      <w:r>
        <w:rPr>
          <w:kern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" w:anchor="block_1000" w:history="1">
        <w:r>
          <w:rPr>
            <w:rStyle w:val="a7"/>
            <w:kern w:val="24"/>
          </w:rPr>
          <w:t>форме</w:t>
        </w:r>
      </w:hyperlink>
      <w:r>
        <w:rPr>
          <w:kern w:val="24"/>
        </w:rPr>
        <w:t xml:space="preserve"> и в </w:t>
      </w:r>
      <w:hyperlink r:id="rId6" w:anchor="block_2000" w:history="1">
        <w:r>
          <w:rPr>
            <w:rStyle w:val="a7"/>
            <w:kern w:val="24"/>
          </w:rPr>
          <w:t>порядке</w:t>
        </w:r>
      </w:hyperlink>
      <w:r>
        <w:rPr>
          <w:kern w:val="24"/>
        </w:rPr>
        <w:t xml:space="preserve">, утвержденных </w:t>
      </w:r>
      <w:hyperlink r:id="rId7" w:history="1">
        <w:r>
          <w:rPr>
            <w:rStyle w:val="a7"/>
            <w:kern w:val="24"/>
          </w:rPr>
          <w:t>приказом</w:t>
        </w:r>
      </w:hyperlink>
      <w:r>
        <w:rPr>
          <w:kern w:val="24"/>
        </w:rPr>
        <w:t xml:space="preserve"> Министерства труда и социальной защиты Российской Федерации от 22 июня 2015 года № 386 н.</w:t>
      </w:r>
    </w:p>
    <w:p w:rsidR="008F5510" w:rsidRDefault="008F5510" w:rsidP="008F5510">
      <w:pPr>
        <w:ind w:firstLine="567"/>
        <w:jc w:val="both"/>
        <w:rPr>
          <w:bCs/>
          <w:spacing w:val="3"/>
        </w:rPr>
      </w:pPr>
      <w:r>
        <w:rPr>
          <w:b/>
        </w:rPr>
        <w:t xml:space="preserve">Требования к порядку выполнения работ: </w:t>
      </w:r>
      <w:r>
        <w:t>выполнение работ осуществляется в течение 40 (сорока) календарных дней со дня получения направления, выдаваемого Заказчиком,</w:t>
      </w:r>
      <w:r>
        <w:rPr>
          <w:bCs/>
          <w:spacing w:val="3"/>
        </w:rPr>
        <w:t xml:space="preserve"> в местах выполнения работ. </w:t>
      </w:r>
    </w:p>
    <w:p w:rsidR="008F5510" w:rsidRDefault="008F5510" w:rsidP="008F5510">
      <w:pPr>
        <w:shd w:val="clear" w:color="auto" w:fill="FFFFFF"/>
        <w:tabs>
          <w:tab w:val="left" w:pos="7176"/>
        </w:tabs>
        <w:ind w:right="10" w:firstLine="567"/>
        <w:jc w:val="both"/>
        <w:rPr>
          <w:b/>
          <w:sz w:val="25"/>
          <w:szCs w:val="25"/>
        </w:rPr>
      </w:pPr>
      <w:r>
        <w:rPr>
          <w:kern w:val="24"/>
        </w:rPr>
        <w:t>При выполнении работ необходимо: осуществлять индивидуальное изготовление Получателям Изделий.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53DDA" w:rsidRPr="00853DDA" w:rsidRDefault="00853DDA" w:rsidP="00096B42">
      <w:pPr>
        <w:pStyle w:val="a4"/>
        <w:widowControl w:val="0"/>
        <w:spacing w:after="0"/>
        <w:ind w:firstLine="567"/>
        <w:jc w:val="both"/>
        <w:rPr>
          <w:sz w:val="25"/>
          <w:szCs w:val="25"/>
        </w:rPr>
      </w:pPr>
    </w:p>
    <w:sectPr w:rsidR="00853DDA" w:rsidRPr="00853DD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221DC"/>
    <w:rsid w:val="00140309"/>
    <w:rsid w:val="0017437D"/>
    <w:rsid w:val="00182BB9"/>
    <w:rsid w:val="001A70B1"/>
    <w:rsid w:val="00241F6A"/>
    <w:rsid w:val="0024535C"/>
    <w:rsid w:val="002E5B1F"/>
    <w:rsid w:val="003501B3"/>
    <w:rsid w:val="003851EC"/>
    <w:rsid w:val="004167F2"/>
    <w:rsid w:val="00422AD9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406C2"/>
    <w:rsid w:val="00663BDA"/>
    <w:rsid w:val="00775CA6"/>
    <w:rsid w:val="007D4314"/>
    <w:rsid w:val="00815F84"/>
    <w:rsid w:val="008161E9"/>
    <w:rsid w:val="00853DDA"/>
    <w:rsid w:val="008D42E1"/>
    <w:rsid w:val="008D481E"/>
    <w:rsid w:val="008F245B"/>
    <w:rsid w:val="008F5510"/>
    <w:rsid w:val="00A0349B"/>
    <w:rsid w:val="00A169DE"/>
    <w:rsid w:val="00A403B8"/>
    <w:rsid w:val="00AB5AFF"/>
    <w:rsid w:val="00AE09E8"/>
    <w:rsid w:val="00B3342E"/>
    <w:rsid w:val="00B95955"/>
    <w:rsid w:val="00BC0123"/>
    <w:rsid w:val="00C37AFC"/>
    <w:rsid w:val="00D7118F"/>
    <w:rsid w:val="00D8276E"/>
    <w:rsid w:val="00DC0A06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39BB-C71F-4371-80AB-2766A30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221DC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1221DC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character" w:styleId="a7">
    <w:name w:val="Hyperlink"/>
    <w:aliases w:val="%Hyperlink"/>
    <w:unhideWhenUsed/>
    <w:rsid w:val="00DC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1145140/f7ee959fd36b5699076b35abf4f52c5c/" TargetMode="External"/><Relationship Id="rId5" Type="http://schemas.openxmlformats.org/officeDocument/2006/relationships/hyperlink" Target="http://base.garant.ru/7114514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1A-7E2A-4249-8DBE-FFF29BE9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2019-12-25T09:02:00Z</cp:lastPrinted>
  <dcterms:created xsi:type="dcterms:W3CDTF">2023-11-20T07:26:00Z</dcterms:created>
  <dcterms:modified xsi:type="dcterms:W3CDTF">2023-11-20T07:26:00Z</dcterms:modified>
</cp:coreProperties>
</file>