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B79" w:rsidRDefault="00AB338A" w:rsidP="00E404C3">
      <w:pPr>
        <w:spacing w:before="120" w:after="120"/>
        <w:jc w:val="center"/>
      </w:pPr>
      <w:r w:rsidRPr="00811B6A">
        <w:rPr>
          <w:b/>
        </w:rPr>
        <w:t>ОПИСАНИЕ ОБЪЕКТА ЗАКУПКИ</w:t>
      </w:r>
      <w:r w:rsidR="00E404C3" w:rsidRPr="00E404C3">
        <w:t xml:space="preserve"> </w:t>
      </w:r>
    </w:p>
    <w:p w:rsidR="00272B79" w:rsidRDefault="00272B79" w:rsidP="00E404C3">
      <w:pPr>
        <w:spacing w:before="120" w:after="120"/>
        <w:jc w:val="center"/>
        <w:rPr>
          <w:b/>
        </w:rPr>
      </w:pPr>
      <w:r w:rsidRPr="00272B79">
        <w:rPr>
          <w:b/>
        </w:rPr>
        <w:t>(ТЕХНИЧЕСКОЕ ЗАДАНИЕ)</w:t>
      </w:r>
    </w:p>
    <w:p w:rsidR="00E404C3" w:rsidRDefault="00E404C3" w:rsidP="00E404C3">
      <w:pPr>
        <w:spacing w:before="120" w:after="120"/>
        <w:jc w:val="center"/>
        <w:rPr>
          <w:b/>
          <w:i/>
        </w:rPr>
      </w:pPr>
      <w:r w:rsidRPr="00811B6A">
        <w:t xml:space="preserve">Наименование и описание объекта электронного аукциона: </w:t>
      </w:r>
      <w:r w:rsidR="00BB576C" w:rsidRPr="00BB576C">
        <w:rPr>
          <w:b/>
          <w:i/>
        </w:rPr>
        <w:t>№ 08</w:t>
      </w:r>
      <w:r w:rsidR="00087480">
        <w:rPr>
          <w:b/>
          <w:i/>
        </w:rPr>
        <w:t>6</w:t>
      </w:r>
      <w:r w:rsidR="00BB576C" w:rsidRPr="00BB576C">
        <w:rPr>
          <w:b/>
          <w:i/>
        </w:rPr>
        <w:t xml:space="preserve">-эа. Поставка технических средств реабилитации - специальных средств при нарушении функции выделения </w:t>
      </w:r>
      <w:r w:rsidR="00B916F5">
        <w:rPr>
          <w:b/>
          <w:i/>
        </w:rPr>
        <w:t xml:space="preserve">(уроприемников) </w:t>
      </w:r>
      <w:r w:rsidR="00BB576C" w:rsidRPr="00BB576C">
        <w:rPr>
          <w:b/>
          <w:i/>
        </w:rPr>
        <w:t>для обеспечения ими в 2024 году.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6095"/>
        <w:gridCol w:w="1134"/>
      </w:tblGrid>
      <w:tr w:rsidR="0072599D" w:rsidRPr="005D497F" w:rsidTr="005D497F">
        <w:trPr>
          <w:trHeight w:val="484"/>
        </w:trPr>
        <w:tc>
          <w:tcPr>
            <w:tcW w:w="562" w:type="dxa"/>
            <w:tcBorders>
              <w:top w:val="single" w:sz="4" w:space="0" w:color="auto"/>
              <w:left w:val="single" w:sz="4" w:space="0" w:color="auto"/>
              <w:bottom w:val="single" w:sz="4" w:space="0" w:color="auto"/>
              <w:right w:val="single" w:sz="4" w:space="0" w:color="auto"/>
            </w:tcBorders>
            <w:vAlign w:val="center"/>
          </w:tcPr>
          <w:p w:rsidR="0072599D" w:rsidRPr="005D497F" w:rsidRDefault="0072599D" w:rsidP="0072599D">
            <w:pPr>
              <w:tabs>
                <w:tab w:val="left" w:pos="708"/>
              </w:tabs>
              <w:jc w:val="center"/>
              <w:rPr>
                <w:b/>
              </w:rPr>
            </w:pPr>
            <w:r w:rsidRPr="005D497F">
              <w:rPr>
                <w:b/>
              </w:rPr>
              <w:t>№</w:t>
            </w:r>
          </w:p>
          <w:p w:rsidR="0072599D" w:rsidRPr="005D497F" w:rsidRDefault="0072599D" w:rsidP="0072599D">
            <w:pPr>
              <w:tabs>
                <w:tab w:val="left" w:pos="708"/>
              </w:tabs>
              <w:jc w:val="center"/>
              <w:rPr>
                <w:b/>
              </w:rPr>
            </w:pPr>
            <w:r w:rsidRPr="005D497F">
              <w:rPr>
                <w:b/>
              </w:rPr>
              <w:t>п/п</w:t>
            </w:r>
          </w:p>
        </w:tc>
        <w:tc>
          <w:tcPr>
            <w:tcW w:w="2694" w:type="dxa"/>
            <w:tcBorders>
              <w:top w:val="single" w:sz="4" w:space="0" w:color="auto"/>
              <w:left w:val="single" w:sz="4" w:space="0" w:color="auto"/>
              <w:bottom w:val="single" w:sz="4" w:space="0" w:color="auto"/>
              <w:right w:val="single" w:sz="4" w:space="0" w:color="auto"/>
            </w:tcBorders>
            <w:vAlign w:val="center"/>
          </w:tcPr>
          <w:p w:rsidR="0072599D" w:rsidRPr="005D497F" w:rsidRDefault="0072599D" w:rsidP="0072599D">
            <w:pPr>
              <w:tabs>
                <w:tab w:val="left" w:pos="708"/>
              </w:tabs>
              <w:jc w:val="center"/>
              <w:rPr>
                <w:b/>
              </w:rPr>
            </w:pPr>
            <w:r w:rsidRPr="005D497F">
              <w:rPr>
                <w:b/>
              </w:rPr>
              <w:t>Наименование Товара</w:t>
            </w:r>
          </w:p>
        </w:tc>
        <w:tc>
          <w:tcPr>
            <w:tcW w:w="6095" w:type="dxa"/>
            <w:tcBorders>
              <w:top w:val="single" w:sz="4" w:space="0" w:color="auto"/>
              <w:left w:val="single" w:sz="4" w:space="0" w:color="auto"/>
              <w:bottom w:val="single" w:sz="4" w:space="0" w:color="auto"/>
              <w:right w:val="single" w:sz="4" w:space="0" w:color="auto"/>
            </w:tcBorders>
            <w:vAlign w:val="center"/>
          </w:tcPr>
          <w:p w:rsidR="0072599D" w:rsidRPr="005D497F" w:rsidRDefault="0072599D" w:rsidP="0072599D">
            <w:pPr>
              <w:tabs>
                <w:tab w:val="left" w:pos="708"/>
              </w:tabs>
              <w:spacing w:line="100" w:lineRule="atLeast"/>
              <w:jc w:val="center"/>
              <w:rPr>
                <w:b/>
              </w:rPr>
            </w:pPr>
            <w:r w:rsidRPr="005D497F">
              <w:rPr>
                <w:b/>
              </w:rPr>
              <w:t>Описание и характеристики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72599D" w:rsidRPr="005D497F" w:rsidRDefault="0072599D" w:rsidP="0072599D">
            <w:pPr>
              <w:tabs>
                <w:tab w:val="left" w:pos="708"/>
              </w:tabs>
              <w:ind w:left="-77"/>
              <w:jc w:val="center"/>
              <w:rPr>
                <w:b/>
              </w:rPr>
            </w:pPr>
            <w:r w:rsidRPr="005D497F">
              <w:rPr>
                <w:b/>
              </w:rPr>
              <w:t>Кол-во, шт.</w:t>
            </w:r>
          </w:p>
        </w:tc>
      </w:tr>
      <w:tr w:rsidR="00B916F5" w:rsidRPr="005D497F" w:rsidTr="005D497F">
        <w:trPr>
          <w:trHeight w:val="1682"/>
        </w:trPr>
        <w:tc>
          <w:tcPr>
            <w:tcW w:w="562" w:type="dxa"/>
            <w:tcBorders>
              <w:top w:val="single" w:sz="4" w:space="0" w:color="auto"/>
              <w:left w:val="single" w:sz="4" w:space="0" w:color="auto"/>
              <w:bottom w:val="single" w:sz="4" w:space="0" w:color="auto"/>
              <w:right w:val="single" w:sz="4" w:space="0" w:color="auto"/>
            </w:tcBorders>
            <w:vAlign w:val="center"/>
          </w:tcPr>
          <w:p w:rsidR="00B916F5" w:rsidRPr="005D497F" w:rsidRDefault="00B916F5" w:rsidP="00B916F5">
            <w:pPr>
              <w:tabs>
                <w:tab w:val="left" w:pos="708"/>
              </w:tabs>
              <w:jc w:val="center"/>
            </w:pPr>
            <w:r w:rsidRPr="005D497F">
              <w:t>1</w:t>
            </w:r>
          </w:p>
        </w:tc>
        <w:tc>
          <w:tcPr>
            <w:tcW w:w="2694"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autoSpaceDE w:val="0"/>
              <w:autoSpaceDN w:val="0"/>
              <w:adjustRightInd w:val="0"/>
              <w:rPr>
                <w:b/>
              </w:rPr>
            </w:pPr>
            <w:r w:rsidRPr="005D497F">
              <w:rPr>
                <w:b/>
              </w:rPr>
              <w:t>21-01-05</w:t>
            </w:r>
            <w:r w:rsidRPr="005D497F">
              <w:t xml:space="preserve"> </w:t>
            </w:r>
            <w:r w:rsidRPr="005D497F">
              <w:rPr>
                <w:b/>
              </w:rPr>
              <w:t>Однокомпонентный дренируемый уроприемник со встроенной плоской пластиной</w:t>
            </w:r>
          </w:p>
          <w:p w:rsidR="00B916F5" w:rsidRPr="005D497F" w:rsidRDefault="00B916F5" w:rsidP="00B916F5">
            <w:pPr>
              <w:autoSpaceDE w:val="0"/>
              <w:autoSpaceDN w:val="0"/>
              <w:adjustRightInd w:val="0"/>
            </w:pPr>
          </w:p>
        </w:tc>
        <w:tc>
          <w:tcPr>
            <w:tcW w:w="6095"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ind w:left="-142"/>
              <w:jc w:val="center"/>
            </w:pPr>
            <w:r w:rsidRPr="005D497F">
              <w:rPr>
                <w:spacing w:val="2"/>
                <w:shd w:val="clear" w:color="auto" w:fill="FFFFFF"/>
              </w:rPr>
              <w:t>Неразъемные герметичные стомные мешки для сбора мочи и защиты кожи от ее агрессивного воздействия, с антирефлюксным и сливным клапанами, со встроенной плоской адгезивной пластиной для фиксации уроприемника на передней брюшной стенке. Дренируемые однокомпонентные уроприемники могут соединяться с мочеприемниками через специальный переходник.</w:t>
            </w:r>
          </w:p>
          <w:p w:rsidR="00B916F5" w:rsidRPr="005D497F" w:rsidRDefault="00B916F5" w:rsidP="00B916F5">
            <w:pPr>
              <w:snapToGrid w:val="0"/>
              <w:jc w:val="center"/>
              <w:rPr>
                <w:iCs/>
                <w:spacing w:val="2"/>
                <w:shd w:val="clear" w:color="auto" w:fill="FFFFFF"/>
              </w:rPr>
            </w:pPr>
            <w:r w:rsidRPr="005D497F">
              <w:t>Диаметр не менее 10 мм не более 70 мм</w:t>
            </w:r>
          </w:p>
        </w:tc>
        <w:tc>
          <w:tcPr>
            <w:tcW w:w="1134"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keepNext/>
              <w:widowControl w:val="0"/>
              <w:snapToGrid w:val="0"/>
              <w:jc w:val="center"/>
            </w:pPr>
            <w:r w:rsidRPr="005D497F">
              <w:t>3 510</w:t>
            </w:r>
          </w:p>
        </w:tc>
      </w:tr>
      <w:tr w:rsidR="00B916F5" w:rsidRPr="005D497F" w:rsidTr="005D497F">
        <w:trPr>
          <w:trHeight w:val="2463"/>
        </w:trPr>
        <w:tc>
          <w:tcPr>
            <w:tcW w:w="562" w:type="dxa"/>
            <w:tcBorders>
              <w:top w:val="single" w:sz="4" w:space="0" w:color="auto"/>
              <w:left w:val="single" w:sz="4" w:space="0" w:color="auto"/>
              <w:bottom w:val="single" w:sz="4" w:space="0" w:color="auto"/>
              <w:right w:val="single" w:sz="4" w:space="0" w:color="auto"/>
            </w:tcBorders>
            <w:vAlign w:val="center"/>
          </w:tcPr>
          <w:p w:rsidR="00B916F5" w:rsidRPr="005D497F" w:rsidRDefault="00B916F5" w:rsidP="00B916F5">
            <w:pPr>
              <w:tabs>
                <w:tab w:val="left" w:pos="708"/>
              </w:tabs>
              <w:jc w:val="center"/>
            </w:pPr>
            <w:r w:rsidRPr="005D497F">
              <w:t>2</w:t>
            </w:r>
          </w:p>
        </w:tc>
        <w:tc>
          <w:tcPr>
            <w:tcW w:w="2694"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autoSpaceDE w:val="0"/>
              <w:autoSpaceDN w:val="0"/>
              <w:adjustRightInd w:val="0"/>
              <w:rPr>
                <w:b/>
              </w:rPr>
            </w:pPr>
            <w:r w:rsidRPr="005D497F">
              <w:rPr>
                <w:b/>
              </w:rPr>
              <w:t>21-01-11</w:t>
            </w:r>
          </w:p>
          <w:p w:rsidR="00B916F5" w:rsidRPr="005D497F" w:rsidRDefault="00B916F5" w:rsidP="00B916F5">
            <w:pPr>
              <w:autoSpaceDE w:val="0"/>
              <w:autoSpaceDN w:val="0"/>
              <w:adjustRightInd w:val="0"/>
              <w:rPr>
                <w:b/>
              </w:rPr>
            </w:pPr>
            <w:r w:rsidRPr="005D497F">
              <w:rPr>
                <w:b/>
              </w:rPr>
              <w:t xml:space="preserve"> Адгезивная пластина, плоская для двухкомпонентного дренируемого уроприемника  </w:t>
            </w:r>
          </w:p>
          <w:p w:rsidR="00B916F5" w:rsidRPr="005D497F" w:rsidRDefault="00B916F5" w:rsidP="00B916F5">
            <w:pPr>
              <w:autoSpaceDE w:val="0"/>
              <w:autoSpaceDN w:val="0"/>
              <w:adjustRightInd w:val="0"/>
            </w:pPr>
          </w:p>
          <w:p w:rsidR="00B916F5" w:rsidRPr="005D497F" w:rsidRDefault="00B916F5" w:rsidP="00B916F5">
            <w:pPr>
              <w:snapToGrid w:val="0"/>
              <w:rPr>
                <w:b/>
              </w:rPr>
            </w:pPr>
          </w:p>
        </w:tc>
        <w:tc>
          <w:tcPr>
            <w:tcW w:w="6095"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keepNext/>
              <w:tabs>
                <w:tab w:val="left" w:pos="708"/>
              </w:tabs>
            </w:pPr>
            <w:r w:rsidRPr="005D497F">
              <w:rPr>
                <w:spacing w:val="2"/>
                <w:shd w:val="clear" w:color="auto" w:fill="FFFFFF"/>
              </w:rPr>
              <w:t>Разъемные устройства, состоящие из двух отдельных компонентов, соединяющихся между собой с помощью механического или адгезивного фланцевого соединения: сменяемого дренируемого уростомного мешка с антирефлюксным и сливным клапанами и плоской адгезивной (клеевой) пластины для фиксации уроприемника на передней брюшной стенке. Дренируемые двухкомпонентные уроприемники могут соединяться с мочеприемниками через специальный переходник.</w:t>
            </w:r>
            <w:r w:rsidRPr="005D497F">
              <w:t xml:space="preserve"> </w:t>
            </w:r>
          </w:p>
          <w:p w:rsidR="00B916F5" w:rsidRPr="005D497F" w:rsidRDefault="00B916F5" w:rsidP="00B916F5">
            <w:pPr>
              <w:keepNext/>
              <w:tabs>
                <w:tab w:val="left" w:pos="708"/>
              </w:tabs>
            </w:pPr>
            <w:r w:rsidRPr="005D497F">
              <w:t>Пластины должны иметь встроенный фланец (кольцо), на который должен крепится стомный мешок. Фланец пластины должен соответствовать фланцу стомного мешка.</w:t>
            </w:r>
          </w:p>
          <w:p w:rsidR="00B916F5" w:rsidRPr="005D497F" w:rsidRDefault="00B916F5" w:rsidP="005D497F">
            <w:pPr>
              <w:snapToGrid w:val="0"/>
              <w:rPr>
                <w:iCs/>
                <w:spacing w:val="2"/>
                <w:shd w:val="clear" w:color="auto" w:fill="FFFFFF"/>
              </w:rPr>
            </w:pPr>
            <w:r w:rsidRPr="005D497F">
              <w:t xml:space="preserve"> Диаметр должен быть в диапазоне не менее 40 мм не более 50 мм Поставщик должен обеспечить </w:t>
            </w:r>
            <w:r w:rsidR="005D497F" w:rsidRPr="005D497F">
              <w:t>получателю</w:t>
            </w:r>
            <w:r w:rsidRPr="005D497F">
              <w:t xml:space="preserve"> индивидуальный подбор с учетом индивидуальных особенностей </w:t>
            </w:r>
            <w:r w:rsidR="005D497F" w:rsidRPr="005D497F">
              <w:t>получател</w:t>
            </w:r>
            <w:r w:rsidR="005D497F">
              <w:t>я</w:t>
            </w:r>
            <w:r w:rsidRPr="005D497F">
              <w:t>.</w:t>
            </w:r>
          </w:p>
        </w:tc>
        <w:tc>
          <w:tcPr>
            <w:tcW w:w="1134"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keepNext/>
              <w:widowControl w:val="0"/>
              <w:snapToGrid w:val="0"/>
              <w:jc w:val="center"/>
            </w:pPr>
            <w:r w:rsidRPr="005D497F">
              <w:t>2 130</w:t>
            </w:r>
          </w:p>
        </w:tc>
      </w:tr>
      <w:tr w:rsidR="00B916F5" w:rsidRPr="005D497F" w:rsidTr="005D497F">
        <w:trPr>
          <w:trHeight w:val="2463"/>
        </w:trPr>
        <w:tc>
          <w:tcPr>
            <w:tcW w:w="562" w:type="dxa"/>
            <w:tcBorders>
              <w:top w:val="single" w:sz="4" w:space="0" w:color="auto"/>
              <w:left w:val="single" w:sz="4" w:space="0" w:color="auto"/>
              <w:bottom w:val="single" w:sz="4" w:space="0" w:color="auto"/>
              <w:right w:val="single" w:sz="4" w:space="0" w:color="auto"/>
            </w:tcBorders>
            <w:vAlign w:val="center"/>
          </w:tcPr>
          <w:p w:rsidR="00B916F5" w:rsidRPr="005D497F" w:rsidRDefault="00B916F5" w:rsidP="00B916F5">
            <w:pPr>
              <w:tabs>
                <w:tab w:val="left" w:pos="708"/>
              </w:tabs>
              <w:jc w:val="center"/>
            </w:pPr>
            <w:r w:rsidRPr="005D497F">
              <w:t>3</w:t>
            </w:r>
          </w:p>
        </w:tc>
        <w:tc>
          <w:tcPr>
            <w:tcW w:w="2694"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autoSpaceDE w:val="0"/>
              <w:autoSpaceDN w:val="0"/>
              <w:adjustRightInd w:val="0"/>
              <w:rPr>
                <w:b/>
              </w:rPr>
            </w:pPr>
            <w:r w:rsidRPr="005D497F">
              <w:rPr>
                <w:b/>
              </w:rPr>
              <w:t>21-01-11</w:t>
            </w:r>
          </w:p>
          <w:p w:rsidR="00B916F5" w:rsidRPr="005D497F" w:rsidRDefault="00B916F5" w:rsidP="00B916F5">
            <w:pPr>
              <w:snapToGrid w:val="0"/>
              <w:rPr>
                <w:b/>
              </w:rPr>
            </w:pPr>
            <w:r w:rsidRPr="005D497F">
              <w:rPr>
                <w:b/>
              </w:rPr>
              <w:t>Мешок уростомный для двухкомпонентного дренируемого уроприемника</w:t>
            </w:r>
          </w:p>
          <w:p w:rsidR="00B916F5" w:rsidRPr="005D497F" w:rsidRDefault="00B916F5" w:rsidP="005D497F">
            <w:pPr>
              <w:autoSpaceDE w:val="0"/>
              <w:autoSpaceDN w:val="0"/>
              <w:adjustRightInd w:val="0"/>
              <w:rPr>
                <w:b/>
              </w:rPr>
            </w:pPr>
          </w:p>
        </w:tc>
        <w:tc>
          <w:tcPr>
            <w:tcW w:w="6095" w:type="dxa"/>
            <w:tcBorders>
              <w:top w:val="single" w:sz="4" w:space="0" w:color="auto"/>
              <w:left w:val="single" w:sz="4" w:space="0" w:color="auto"/>
              <w:bottom w:val="single" w:sz="4" w:space="0" w:color="auto"/>
              <w:right w:val="single" w:sz="4" w:space="0" w:color="auto"/>
            </w:tcBorders>
          </w:tcPr>
          <w:p w:rsidR="00B916F5" w:rsidRPr="005D497F" w:rsidRDefault="00B916F5" w:rsidP="005D497F">
            <w:pPr>
              <w:snapToGrid w:val="0"/>
              <w:rPr>
                <w:iCs/>
                <w:spacing w:val="2"/>
                <w:shd w:val="clear" w:color="auto" w:fill="FFFFFF"/>
              </w:rPr>
            </w:pPr>
            <w:r w:rsidRPr="005D497F">
              <w:rPr>
                <w:spacing w:val="2"/>
                <w:shd w:val="clear" w:color="auto" w:fill="FFFFFF"/>
              </w:rPr>
              <w:t>Разъемные устройства, состоящие из двух отдельных компонентов, соединяющихся между собой с помощью механического или адгезивного фланцевого соединения: сменяемого дренируемого уростомного мешка с антирефлюксным и сливным клапанами и плоской адгезивной (клеевой) пластины для фиксации уроприемника на передней брюшной стенке. Дренируемые двухкомпонентные уроприемники могут соединяться с мочеприемниками через специальный переходник.</w:t>
            </w:r>
            <w:r w:rsidRPr="005D497F">
              <w:t xml:space="preserve"> Уростомный мешок должен быть оснащен фланцевым кольцом с защелкой. Диаметр должен быть в диапазоне не менее 40 мм не более 50 мм. Поставщик должен обеспечить </w:t>
            </w:r>
            <w:r w:rsidR="005D497F" w:rsidRPr="005D497F">
              <w:t>получателю</w:t>
            </w:r>
            <w:r w:rsidRPr="005D497F">
              <w:t xml:space="preserve"> индивидуальный подбор с учетом индивидуальных особенностей </w:t>
            </w:r>
            <w:r w:rsidR="005D497F" w:rsidRPr="005D497F">
              <w:t>получател</w:t>
            </w:r>
            <w:r w:rsidR="005D497F">
              <w:t>я</w:t>
            </w:r>
            <w:r w:rsidRPr="005D497F">
              <w:t>.</w:t>
            </w:r>
          </w:p>
        </w:tc>
        <w:tc>
          <w:tcPr>
            <w:tcW w:w="1134"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keepNext/>
              <w:widowControl w:val="0"/>
              <w:snapToGrid w:val="0"/>
              <w:jc w:val="center"/>
            </w:pPr>
            <w:r w:rsidRPr="005D497F">
              <w:t>6 570</w:t>
            </w:r>
          </w:p>
        </w:tc>
      </w:tr>
      <w:tr w:rsidR="00B916F5" w:rsidRPr="005D497F" w:rsidTr="005D497F">
        <w:trPr>
          <w:trHeight w:val="2463"/>
        </w:trPr>
        <w:tc>
          <w:tcPr>
            <w:tcW w:w="562" w:type="dxa"/>
            <w:tcBorders>
              <w:top w:val="single" w:sz="4" w:space="0" w:color="auto"/>
              <w:left w:val="single" w:sz="4" w:space="0" w:color="auto"/>
              <w:bottom w:val="single" w:sz="4" w:space="0" w:color="auto"/>
              <w:right w:val="single" w:sz="4" w:space="0" w:color="auto"/>
            </w:tcBorders>
            <w:vAlign w:val="center"/>
          </w:tcPr>
          <w:p w:rsidR="00B916F5" w:rsidRPr="005D497F" w:rsidRDefault="00B916F5" w:rsidP="00B916F5">
            <w:pPr>
              <w:tabs>
                <w:tab w:val="left" w:pos="708"/>
              </w:tabs>
              <w:jc w:val="center"/>
            </w:pPr>
            <w:r w:rsidRPr="005D497F">
              <w:lastRenderedPageBreak/>
              <w:t>4</w:t>
            </w:r>
          </w:p>
        </w:tc>
        <w:tc>
          <w:tcPr>
            <w:tcW w:w="2694" w:type="dxa"/>
            <w:tcBorders>
              <w:top w:val="single" w:sz="4" w:space="0" w:color="auto"/>
              <w:left w:val="single" w:sz="4" w:space="0" w:color="auto"/>
              <w:bottom w:val="single" w:sz="4" w:space="0" w:color="auto"/>
              <w:right w:val="single" w:sz="4" w:space="0" w:color="auto"/>
            </w:tcBorders>
          </w:tcPr>
          <w:p w:rsidR="00B916F5" w:rsidRPr="005D497F" w:rsidRDefault="00B916F5" w:rsidP="00B916F5">
            <w:r w:rsidRPr="005D497F">
              <w:t>21-01-12</w:t>
            </w:r>
          </w:p>
          <w:p w:rsidR="00B916F5" w:rsidRPr="005D497F" w:rsidRDefault="00B916F5" w:rsidP="00B916F5">
            <w:r w:rsidRPr="005D497F">
              <w:t>Адгезивная пластина, конвексная для двухкомпонентного дренируемого уроприемнико для втянутых стом</w:t>
            </w:r>
          </w:p>
        </w:tc>
        <w:tc>
          <w:tcPr>
            <w:tcW w:w="6095"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keepNext/>
              <w:tabs>
                <w:tab w:val="left" w:pos="708"/>
              </w:tabs>
              <w:rPr>
                <w:spacing w:val="2"/>
                <w:shd w:val="clear" w:color="auto" w:fill="FFFFFF"/>
              </w:rPr>
            </w:pPr>
            <w:r w:rsidRPr="005D497F">
              <w:rPr>
                <w:spacing w:val="2"/>
                <w:shd w:val="clear" w:color="auto" w:fill="FFFFFF"/>
              </w:rPr>
              <w:t>Разъемные устройства, состоящие из двух отдельных компонентов, соединяющихся между собой с помощью механического или адгезивного фланцевого соединения: сменяемого дренируемого уростомного мешка с антирефлюксным и сливным клапанами и конвексной адгезивной (клеевой) пластины для фиксации уроприемника на передней брюшной стенке.</w:t>
            </w:r>
          </w:p>
          <w:p w:rsidR="00B916F5" w:rsidRPr="005D497F" w:rsidRDefault="00B916F5" w:rsidP="00B916F5">
            <w:pPr>
              <w:keepNext/>
              <w:tabs>
                <w:tab w:val="left" w:pos="708"/>
              </w:tabs>
              <w:rPr>
                <w:spacing w:val="2"/>
                <w:shd w:val="clear" w:color="auto" w:fill="FFFFFF"/>
              </w:rPr>
            </w:pPr>
            <w:r w:rsidRPr="005D497F">
              <w:rPr>
                <w:spacing w:val="2"/>
                <w:shd w:val="clear" w:color="auto" w:fill="FFFFFF"/>
              </w:rPr>
              <w:t>Дренируемые двухкомпонентные уроприемники могут соединяться с мочеприемниками через специальный переходник.</w:t>
            </w:r>
          </w:p>
          <w:p w:rsidR="00B916F5" w:rsidRPr="005D497F" w:rsidRDefault="00B916F5" w:rsidP="00B916F5">
            <w:pPr>
              <w:keepNext/>
              <w:tabs>
                <w:tab w:val="left" w:pos="708"/>
              </w:tabs>
              <w:rPr>
                <w:spacing w:val="2"/>
              </w:rPr>
            </w:pPr>
            <w:r w:rsidRPr="005D497F">
              <w:t xml:space="preserve">Пластина конвексная (для втянутых стом) адгезивная пластина для двухкомпонентных уроприемников, диаметр должен быть в диапазоне не менее 40 мм не более 65 мм Поставщик должен обеспечить </w:t>
            </w:r>
            <w:r w:rsidR="005D497F" w:rsidRPr="005D497F">
              <w:t>получателю</w:t>
            </w:r>
            <w:r w:rsidR="005D497F">
              <w:t xml:space="preserve"> </w:t>
            </w:r>
            <w:r w:rsidRPr="005D497F">
              <w:t xml:space="preserve">индивидуальный подбор с учетом индивидуальных особенностей </w:t>
            </w:r>
            <w:r w:rsidR="005D497F">
              <w:t>получателя</w:t>
            </w:r>
            <w:r w:rsidRPr="005D497F">
              <w:t>.</w:t>
            </w:r>
          </w:p>
        </w:tc>
        <w:tc>
          <w:tcPr>
            <w:tcW w:w="1134"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keepNext/>
              <w:widowControl w:val="0"/>
              <w:snapToGrid w:val="0"/>
              <w:jc w:val="center"/>
            </w:pPr>
            <w:r w:rsidRPr="005D497F">
              <w:t>60</w:t>
            </w:r>
          </w:p>
        </w:tc>
      </w:tr>
      <w:tr w:rsidR="00B916F5" w:rsidRPr="005D497F" w:rsidTr="005D497F">
        <w:trPr>
          <w:trHeight w:val="781"/>
        </w:trPr>
        <w:tc>
          <w:tcPr>
            <w:tcW w:w="562" w:type="dxa"/>
            <w:tcBorders>
              <w:top w:val="single" w:sz="4" w:space="0" w:color="auto"/>
              <w:left w:val="single" w:sz="4" w:space="0" w:color="auto"/>
              <w:bottom w:val="single" w:sz="4" w:space="0" w:color="auto"/>
              <w:right w:val="single" w:sz="4" w:space="0" w:color="auto"/>
            </w:tcBorders>
            <w:vAlign w:val="center"/>
          </w:tcPr>
          <w:p w:rsidR="00B916F5" w:rsidRPr="005D497F" w:rsidRDefault="00B916F5" w:rsidP="00B916F5">
            <w:pPr>
              <w:tabs>
                <w:tab w:val="left" w:pos="708"/>
              </w:tabs>
              <w:jc w:val="center"/>
            </w:pPr>
            <w:r w:rsidRPr="005D497F">
              <w:t>5</w:t>
            </w:r>
          </w:p>
        </w:tc>
        <w:tc>
          <w:tcPr>
            <w:tcW w:w="2694"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autoSpaceDE w:val="0"/>
              <w:autoSpaceDN w:val="0"/>
              <w:adjustRightInd w:val="0"/>
              <w:rPr>
                <w:b/>
              </w:rPr>
            </w:pPr>
            <w:r w:rsidRPr="005D497F">
              <w:rPr>
                <w:b/>
              </w:rPr>
              <w:t>32.50.13.190-00043: Мешок уростомный многокомпонентный</w:t>
            </w:r>
          </w:p>
          <w:p w:rsidR="00B916F5" w:rsidRPr="005D497F" w:rsidRDefault="00B916F5" w:rsidP="00B916F5">
            <w:pPr>
              <w:keepNext/>
              <w:rPr>
                <w:b/>
              </w:rPr>
            </w:pPr>
            <w:r w:rsidRPr="005D497F">
              <w:rPr>
                <w:b/>
              </w:rPr>
              <w:t>21-01-12</w:t>
            </w:r>
          </w:p>
          <w:p w:rsidR="00B916F5" w:rsidRPr="005D497F" w:rsidRDefault="00B916F5" w:rsidP="00B916F5">
            <w:pPr>
              <w:snapToGrid w:val="0"/>
              <w:rPr>
                <w:b/>
              </w:rPr>
            </w:pPr>
            <w:r w:rsidRPr="005D497F">
              <w:rPr>
                <w:b/>
              </w:rPr>
              <w:t>Мешок уростомный многокомпонентный</w:t>
            </w:r>
          </w:p>
          <w:p w:rsidR="00B916F5" w:rsidRPr="005D497F" w:rsidRDefault="00B916F5" w:rsidP="005D497F">
            <w:pPr>
              <w:autoSpaceDE w:val="0"/>
              <w:autoSpaceDN w:val="0"/>
              <w:adjustRightInd w:val="0"/>
              <w:rPr>
                <w:b/>
              </w:rPr>
            </w:pPr>
          </w:p>
        </w:tc>
        <w:tc>
          <w:tcPr>
            <w:tcW w:w="6095"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keepNext/>
              <w:tabs>
                <w:tab w:val="left" w:pos="708"/>
              </w:tabs>
              <w:rPr>
                <w:spacing w:val="2"/>
                <w:shd w:val="clear" w:color="auto" w:fill="FFFFFF"/>
              </w:rPr>
            </w:pPr>
            <w:r w:rsidRPr="005D497F">
              <w:rPr>
                <w:spacing w:val="2"/>
                <w:shd w:val="clear" w:color="auto" w:fill="FFFFFF"/>
              </w:rPr>
              <w:t>Разъемные устройства, состоящие из двух отдельных компонентов, соединяющихся между собой с помощью механического или адгезивного фланцевого соединения: сменяемого дренируемого уростомного мешка с антирефлюксным и сливным клапанами и конвексной адгезивной (клеевой) пластины для фиксации уроприемника на передней брюшной стенке. Дренируемые двухкомпонентные уроприемники могут соединяться</w:t>
            </w:r>
            <w:r w:rsidR="00DF1F08">
              <w:rPr>
                <w:spacing w:val="2"/>
                <w:shd w:val="clear" w:color="auto" w:fill="FFFFFF"/>
              </w:rPr>
              <w:t xml:space="preserve"> </w:t>
            </w:r>
            <w:r w:rsidRPr="005D497F">
              <w:rPr>
                <w:spacing w:val="2"/>
                <w:shd w:val="clear" w:color="auto" w:fill="FFFFFF"/>
              </w:rPr>
              <w:t>с мочеприемниками через</w:t>
            </w:r>
            <w:r w:rsidR="00DF1F08">
              <w:rPr>
                <w:spacing w:val="2"/>
                <w:shd w:val="clear" w:color="auto" w:fill="FFFFFF"/>
              </w:rPr>
              <w:t xml:space="preserve"> </w:t>
            </w:r>
            <w:r w:rsidRPr="005D497F">
              <w:rPr>
                <w:spacing w:val="2"/>
                <w:shd w:val="clear" w:color="auto" w:fill="FFFFFF"/>
              </w:rPr>
              <w:t xml:space="preserve">специальный переходник. </w:t>
            </w:r>
            <w:r w:rsidRPr="005D497F">
              <w:t>Пластиково</w:t>
            </w:r>
            <w:r w:rsidR="00637791">
              <w:t>е</w:t>
            </w:r>
            <w:r w:rsidRPr="005D497F">
              <w:t xml:space="preserve"> изделие, состоящее из двух или более частей (барьера</w:t>
            </w:r>
            <w:r w:rsidR="00DF1F08">
              <w:t xml:space="preserve"> </w:t>
            </w:r>
            <w:r w:rsidRPr="005D497F">
              <w:t>(пластины) и мешка, которые имеют запирающий механизм), предназначенное для прикрепления к коже пациента вокруг стомы для использования в качестве устройства для сбора мочи при нарушениях мочевыделения. Мешок имеет обратный клапан для предотвращения накопления мочи у основания стомы. Также имеет дренажный краник, позволяющий опорожнять мешок от жидкости. Барьер (пластина) остается прикрепленным вокруг стомы, когда мешок удаляется/заменя</w:t>
            </w:r>
            <w:r w:rsidR="00637791">
              <w:t>е</w:t>
            </w:r>
            <w:r w:rsidRPr="005D497F">
              <w:t>тся. Это изделие одноразового использования.</w:t>
            </w:r>
          </w:p>
          <w:p w:rsidR="00B916F5" w:rsidRPr="005D497F" w:rsidRDefault="00B916F5" w:rsidP="00B916F5">
            <w:pPr>
              <w:pStyle w:val="a7"/>
              <w:widowControl w:val="0"/>
            </w:pPr>
            <w:r w:rsidRPr="005D497F">
              <w:t>Уростомный мешок должен быть оснащен фланцевым кольцом с защелкой. Размер фланца (диаметр) ≥ 50.1 мм и ≤ 60 мм</w:t>
            </w:r>
          </w:p>
          <w:p w:rsidR="00B916F5" w:rsidRPr="005D497F" w:rsidRDefault="00B916F5" w:rsidP="005D497F">
            <w:pPr>
              <w:snapToGrid w:val="0"/>
              <w:rPr>
                <w:iCs/>
                <w:spacing w:val="2"/>
                <w:shd w:val="clear" w:color="auto" w:fill="FFFFFF"/>
              </w:rPr>
            </w:pPr>
            <w:r w:rsidRPr="005D497F">
              <w:t xml:space="preserve">Поставщик должен обеспечить </w:t>
            </w:r>
            <w:r w:rsidR="005D497F" w:rsidRPr="005D497F">
              <w:t>получателю</w:t>
            </w:r>
            <w:r w:rsidR="005D497F">
              <w:t xml:space="preserve"> </w:t>
            </w:r>
            <w:r w:rsidRPr="005D497F">
              <w:t xml:space="preserve">индивидуальный подбор с учетом индивидуальных особенностей </w:t>
            </w:r>
            <w:r w:rsidR="005D497F" w:rsidRPr="005D497F">
              <w:t>получател</w:t>
            </w:r>
            <w:r w:rsidR="005D497F">
              <w:t>я</w:t>
            </w:r>
            <w:r w:rsidRPr="005D497F">
              <w:t>.</w:t>
            </w:r>
          </w:p>
        </w:tc>
        <w:tc>
          <w:tcPr>
            <w:tcW w:w="1134" w:type="dxa"/>
            <w:tcBorders>
              <w:top w:val="single" w:sz="4" w:space="0" w:color="auto"/>
              <w:left w:val="single" w:sz="4" w:space="0" w:color="auto"/>
              <w:bottom w:val="single" w:sz="4" w:space="0" w:color="auto"/>
              <w:right w:val="single" w:sz="4" w:space="0" w:color="auto"/>
            </w:tcBorders>
          </w:tcPr>
          <w:p w:rsidR="00B916F5" w:rsidRPr="005D497F" w:rsidRDefault="00B916F5" w:rsidP="00B916F5">
            <w:pPr>
              <w:jc w:val="center"/>
            </w:pPr>
            <w:r w:rsidRPr="005D497F">
              <w:t>180</w:t>
            </w:r>
          </w:p>
        </w:tc>
      </w:tr>
      <w:tr w:rsidR="00B916F5" w:rsidRPr="005D497F" w:rsidTr="00AF0211">
        <w:trPr>
          <w:trHeight w:val="344"/>
        </w:trPr>
        <w:tc>
          <w:tcPr>
            <w:tcW w:w="9351" w:type="dxa"/>
            <w:gridSpan w:val="3"/>
            <w:tcBorders>
              <w:top w:val="single" w:sz="4" w:space="0" w:color="auto"/>
              <w:left w:val="single" w:sz="4" w:space="0" w:color="auto"/>
              <w:bottom w:val="single" w:sz="4" w:space="0" w:color="auto"/>
              <w:right w:val="single" w:sz="4" w:space="0" w:color="auto"/>
            </w:tcBorders>
            <w:vAlign w:val="center"/>
          </w:tcPr>
          <w:p w:rsidR="00B916F5" w:rsidRPr="005D497F" w:rsidRDefault="00B916F5" w:rsidP="00B916F5">
            <w:pPr>
              <w:widowControl w:val="0"/>
              <w:tabs>
                <w:tab w:val="left" w:pos="708"/>
              </w:tabs>
              <w:suppressAutoHyphens/>
              <w:snapToGrid w:val="0"/>
              <w:jc w:val="center"/>
              <w:rPr>
                <w:b/>
                <w:lang w:eastAsia="ar-SA"/>
              </w:rPr>
            </w:pPr>
            <w:r w:rsidRPr="005D497F">
              <w:rPr>
                <w:b/>
                <w:lang w:eastAsia="ar-SA"/>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B916F5" w:rsidRPr="005D497F" w:rsidRDefault="00B916F5" w:rsidP="00B916F5">
            <w:pPr>
              <w:tabs>
                <w:tab w:val="left" w:pos="708"/>
              </w:tabs>
              <w:jc w:val="center"/>
              <w:rPr>
                <w:b/>
              </w:rPr>
            </w:pPr>
            <w:r w:rsidRPr="005D497F">
              <w:rPr>
                <w:b/>
              </w:rPr>
              <w:t>12 450</w:t>
            </w:r>
          </w:p>
        </w:tc>
      </w:tr>
    </w:tbl>
    <w:p w:rsidR="00B916F5" w:rsidRDefault="00B916F5" w:rsidP="00B916F5">
      <w:pPr>
        <w:keepNext/>
        <w:suppressAutoHyphens/>
        <w:ind w:firstLine="709"/>
        <w:jc w:val="center"/>
        <w:rPr>
          <w:b/>
          <w:bCs/>
          <w:color w:val="000000"/>
          <w:kern w:val="2"/>
          <w:lang w:eastAsia="ar-SA"/>
        </w:rPr>
      </w:pPr>
      <w:r w:rsidRPr="00B916F5">
        <w:rPr>
          <w:b/>
          <w:bCs/>
          <w:color w:val="000000"/>
          <w:kern w:val="2"/>
          <w:lang w:eastAsia="ar-SA"/>
        </w:rPr>
        <w:t>Требования к качеству Товара</w:t>
      </w:r>
    </w:p>
    <w:p w:rsidR="00B916F5" w:rsidRPr="00B916F5" w:rsidRDefault="00B916F5" w:rsidP="00B916F5">
      <w:pPr>
        <w:keepNext/>
        <w:suppressAutoHyphens/>
        <w:ind w:firstLine="709"/>
        <w:rPr>
          <w:color w:val="000000"/>
          <w:lang w:eastAsia="ar-SA"/>
        </w:rPr>
      </w:pPr>
      <w:r w:rsidRPr="00B916F5">
        <w:rPr>
          <w:b/>
          <w:bCs/>
          <w:color w:val="000000"/>
          <w:kern w:val="2"/>
          <w:lang w:eastAsia="ar-SA"/>
        </w:rPr>
        <w:t xml:space="preserve"> </w:t>
      </w:r>
      <w:r w:rsidRPr="00B916F5">
        <w:rPr>
          <w:color w:val="000000"/>
          <w:lang w:eastAsia="ar-SA"/>
        </w:rPr>
        <w:t>В специальных средствах при нарушениях функций выделения не допускаются механические повреждения (разрыв края, разрезы и т.п.). Конструкция специальных средств при нарушениях функций выделения должна обеспечивать пользователю удобство и простоту обращения с ними, легкость в уходе.</w:t>
      </w:r>
    </w:p>
    <w:p w:rsidR="00B916F5" w:rsidRPr="00B916F5" w:rsidRDefault="00B916F5" w:rsidP="00B916F5">
      <w:pPr>
        <w:suppressAutoHyphens/>
        <w:ind w:firstLine="708"/>
        <w:rPr>
          <w:lang w:eastAsia="ar-SA"/>
        </w:rPr>
      </w:pPr>
      <w:r w:rsidRPr="00B916F5">
        <w:rPr>
          <w:lang w:eastAsia="ar-SA"/>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B916F5" w:rsidRDefault="00B916F5" w:rsidP="00B916F5">
      <w:pPr>
        <w:suppressAutoHyphens/>
        <w:ind w:firstLine="709"/>
        <w:jc w:val="center"/>
        <w:rPr>
          <w:b/>
          <w:lang w:eastAsia="ar-SA"/>
        </w:rPr>
      </w:pPr>
      <w:r w:rsidRPr="00B916F5">
        <w:rPr>
          <w:b/>
          <w:lang w:eastAsia="ar-SA"/>
        </w:rPr>
        <w:t>Требования к безопасности товара</w:t>
      </w:r>
    </w:p>
    <w:p w:rsidR="00B916F5" w:rsidRDefault="00B916F5" w:rsidP="00B916F5">
      <w:pPr>
        <w:suppressAutoHyphens/>
        <w:ind w:firstLine="709"/>
        <w:rPr>
          <w:lang w:eastAsia="ar-SA"/>
        </w:rPr>
      </w:pPr>
      <w:r w:rsidRPr="00B916F5">
        <w:rPr>
          <w:lang w:eastAsia="ar-SA"/>
        </w:rPr>
        <w:t xml:space="preserve">Специальные средства при нарушениях функций выделения должны соответствовать требованиям стандартов серии ГОСТ Р 58235-2022 «Специальные средства при нарушении функции </w:t>
      </w:r>
      <w:r w:rsidRPr="00B916F5">
        <w:rPr>
          <w:lang w:eastAsia="ar-SA"/>
        </w:rPr>
        <w:lastRenderedPageBreak/>
        <w:t xml:space="preserve">выделения. Термины и определения. Классификация», ГОСТ Р 51632-2021 «Технические средства реабилитации людей с ограничениями жизнедеятельности. Общие технические требования и методы испытаний», ГОСТ Р 52770-2016 «Изделия медицинские. Требования безопасности. Методы санитарно-химических и токсикологических испытаний», 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 </w:t>
      </w:r>
    </w:p>
    <w:p w:rsidR="00B916F5" w:rsidRPr="00902E20" w:rsidRDefault="00B916F5" w:rsidP="00B916F5">
      <w:pPr>
        <w:tabs>
          <w:tab w:val="left" w:pos="360"/>
          <w:tab w:val="left" w:pos="1080"/>
        </w:tabs>
        <w:ind w:firstLine="720"/>
        <w:rPr>
          <w:bCs/>
          <w:lang w:eastAsia="ar-SA"/>
        </w:rPr>
      </w:pPr>
      <w:r w:rsidRPr="00902E20">
        <w:rPr>
          <w:bCs/>
          <w:lang w:eastAsia="ar-SA"/>
        </w:rP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 Сертификаты соответствия или декларации о соответствии должны предоставляться при поставке товара (при наличии).</w:t>
      </w:r>
    </w:p>
    <w:p w:rsidR="00B916F5" w:rsidRPr="00B916F5" w:rsidRDefault="00B916F5" w:rsidP="00B916F5">
      <w:pPr>
        <w:suppressAutoHyphens/>
        <w:ind w:left="360"/>
        <w:jc w:val="center"/>
        <w:rPr>
          <w:b/>
          <w:lang w:eastAsia="ar-SA"/>
        </w:rPr>
      </w:pPr>
      <w:r w:rsidRPr="00B916F5">
        <w:rPr>
          <w:b/>
          <w:lang w:eastAsia="ar-SA"/>
        </w:rPr>
        <w:t xml:space="preserve">Требования к размерам, упаковке, отгрузке </w:t>
      </w:r>
      <w:r w:rsidRPr="00B916F5">
        <w:rPr>
          <w:b/>
          <w:bCs/>
          <w:kern w:val="2"/>
          <w:lang w:eastAsia="ar-SA"/>
        </w:rPr>
        <w:t>Товара</w:t>
      </w:r>
    </w:p>
    <w:p w:rsidR="00B916F5" w:rsidRPr="00B916F5" w:rsidRDefault="00B916F5" w:rsidP="00B916F5">
      <w:pPr>
        <w:suppressAutoHyphens/>
        <w:autoSpaceDE w:val="0"/>
        <w:autoSpaceDN w:val="0"/>
        <w:adjustRightInd w:val="0"/>
        <w:ind w:firstLine="708"/>
        <w:rPr>
          <w:lang w:eastAsia="ar-SA"/>
        </w:rPr>
      </w:pPr>
      <w:r w:rsidRPr="00B916F5">
        <w:rPr>
          <w:lang w:eastAsia="ar-SA"/>
        </w:rPr>
        <w:t>Упаковка специальных средств при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B916F5" w:rsidRPr="00B916F5" w:rsidRDefault="00B916F5" w:rsidP="00B916F5">
      <w:pPr>
        <w:keepLines/>
        <w:widowControl w:val="0"/>
        <w:suppressAutoHyphens/>
        <w:autoSpaceDE w:val="0"/>
        <w:autoSpaceDN w:val="0"/>
        <w:adjustRightInd w:val="0"/>
        <w:ind w:firstLine="708"/>
        <w:rPr>
          <w:lang w:eastAsia="ar-SA"/>
        </w:rPr>
      </w:pPr>
      <w:r w:rsidRPr="00B916F5">
        <w:rPr>
          <w:lang w:eastAsia="ar-SA"/>
        </w:rP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w:t>
      </w:r>
    </w:p>
    <w:p w:rsidR="00B916F5" w:rsidRPr="00B916F5" w:rsidRDefault="00B916F5" w:rsidP="00B916F5">
      <w:pPr>
        <w:keepLines/>
        <w:widowControl w:val="0"/>
        <w:tabs>
          <w:tab w:val="left" w:pos="284"/>
        </w:tabs>
        <w:suppressAutoHyphens/>
        <w:rPr>
          <w:lang w:eastAsia="ar-SA"/>
        </w:rPr>
      </w:pPr>
      <w:r w:rsidRPr="00B916F5">
        <w:rPr>
          <w:lang w:eastAsia="ar-SA"/>
        </w:rPr>
        <w:tab/>
      </w:r>
      <w:r w:rsidRPr="00B916F5">
        <w:rPr>
          <w:lang w:eastAsia="ar-SA"/>
        </w:rPr>
        <w:tab/>
        <w:t>Маркировка упаковки специальных средств при нарушениях функций выделения должна включать:</w:t>
      </w:r>
    </w:p>
    <w:p w:rsidR="00B916F5" w:rsidRPr="00B916F5" w:rsidRDefault="00B916F5" w:rsidP="00B916F5">
      <w:pPr>
        <w:keepLines/>
        <w:widowControl w:val="0"/>
        <w:tabs>
          <w:tab w:val="left" w:pos="708"/>
        </w:tabs>
        <w:suppressAutoHyphens/>
        <w:rPr>
          <w:lang w:eastAsia="ar-SA"/>
        </w:rPr>
      </w:pPr>
      <w:r w:rsidRPr="00B916F5">
        <w:rPr>
          <w:lang w:eastAsia="ar-SA"/>
        </w:rPr>
        <w:tab/>
        <w:t>- условное обозначение группы изделий, товарную марку (при наличии), обозначение номера изделия (при наличии);</w:t>
      </w:r>
    </w:p>
    <w:p w:rsidR="00B916F5" w:rsidRPr="00B916F5" w:rsidRDefault="00B916F5" w:rsidP="00B916F5">
      <w:pPr>
        <w:keepLines/>
        <w:widowControl w:val="0"/>
        <w:tabs>
          <w:tab w:val="left" w:pos="708"/>
        </w:tabs>
        <w:suppressAutoHyphens/>
        <w:rPr>
          <w:lang w:eastAsia="ar-SA"/>
        </w:rPr>
      </w:pPr>
      <w:r w:rsidRPr="00B916F5">
        <w:rPr>
          <w:lang w:eastAsia="ar-SA"/>
        </w:rPr>
        <w:tab/>
        <w:t>- страну-изготовителя;</w:t>
      </w:r>
    </w:p>
    <w:p w:rsidR="00B916F5" w:rsidRPr="00B916F5" w:rsidRDefault="00B916F5" w:rsidP="00B916F5">
      <w:pPr>
        <w:keepLines/>
        <w:widowControl w:val="0"/>
        <w:tabs>
          <w:tab w:val="left" w:pos="708"/>
        </w:tabs>
        <w:suppressAutoHyphens/>
        <w:rPr>
          <w:lang w:eastAsia="ar-SA"/>
        </w:rPr>
      </w:pPr>
      <w:r w:rsidRPr="00B916F5">
        <w:rPr>
          <w:lang w:eastAsia="ar-SA"/>
        </w:rPr>
        <w:tab/>
        <w:t>- наименование предприятия-изготовителя, юридический адрес, товарный знак (при наличии);</w:t>
      </w:r>
    </w:p>
    <w:p w:rsidR="00B916F5" w:rsidRPr="00B916F5" w:rsidRDefault="00B916F5" w:rsidP="00B916F5">
      <w:pPr>
        <w:keepLines/>
        <w:widowControl w:val="0"/>
        <w:tabs>
          <w:tab w:val="left" w:pos="708"/>
        </w:tabs>
        <w:suppressAutoHyphens/>
        <w:rPr>
          <w:lang w:eastAsia="ar-SA"/>
        </w:rPr>
      </w:pPr>
      <w:r w:rsidRPr="00B916F5">
        <w:rPr>
          <w:lang w:eastAsia="ar-SA"/>
        </w:rPr>
        <w:tab/>
        <w:t>- отличительные характеристики изделий в соответствии с их техническим исполнением (при наличии);</w:t>
      </w:r>
    </w:p>
    <w:p w:rsidR="00B916F5" w:rsidRPr="00B916F5" w:rsidRDefault="00B916F5" w:rsidP="00B916F5">
      <w:pPr>
        <w:keepLines/>
        <w:widowControl w:val="0"/>
        <w:tabs>
          <w:tab w:val="left" w:pos="708"/>
        </w:tabs>
        <w:suppressAutoHyphens/>
        <w:rPr>
          <w:lang w:eastAsia="ar-SA"/>
        </w:rPr>
      </w:pPr>
      <w:r w:rsidRPr="00B916F5">
        <w:rPr>
          <w:lang w:eastAsia="ar-SA"/>
        </w:rPr>
        <w:tab/>
        <w:t>- номер артикула (при наличии);</w:t>
      </w:r>
    </w:p>
    <w:p w:rsidR="00B916F5" w:rsidRPr="00B916F5" w:rsidRDefault="00B916F5" w:rsidP="00B916F5">
      <w:pPr>
        <w:keepLines/>
        <w:widowControl w:val="0"/>
        <w:tabs>
          <w:tab w:val="left" w:pos="708"/>
        </w:tabs>
        <w:suppressAutoHyphens/>
        <w:rPr>
          <w:lang w:eastAsia="ar-SA"/>
        </w:rPr>
      </w:pPr>
      <w:r w:rsidRPr="00B916F5">
        <w:rPr>
          <w:lang w:eastAsia="ar-SA"/>
        </w:rPr>
        <w:tab/>
        <w:t>- количество изделий в упаковке;</w:t>
      </w:r>
    </w:p>
    <w:p w:rsidR="00B916F5" w:rsidRPr="00B916F5" w:rsidRDefault="00B916F5" w:rsidP="00B916F5">
      <w:pPr>
        <w:keepLines/>
        <w:widowControl w:val="0"/>
        <w:tabs>
          <w:tab w:val="left" w:pos="708"/>
        </w:tabs>
        <w:suppressAutoHyphens/>
        <w:rPr>
          <w:lang w:eastAsia="ar-SA"/>
        </w:rPr>
      </w:pPr>
      <w:r w:rsidRPr="00B916F5">
        <w:rPr>
          <w:lang w:eastAsia="ar-SA"/>
        </w:rPr>
        <w:tab/>
        <w:t>- дату (месяц, год) изготовления или срок годности (при наличии);</w:t>
      </w:r>
    </w:p>
    <w:p w:rsidR="00B916F5" w:rsidRPr="00B916F5" w:rsidRDefault="00B916F5" w:rsidP="00B916F5">
      <w:pPr>
        <w:widowControl w:val="0"/>
        <w:tabs>
          <w:tab w:val="left" w:pos="708"/>
        </w:tabs>
        <w:suppressAutoHyphens/>
        <w:rPr>
          <w:lang w:eastAsia="ar-SA"/>
        </w:rPr>
      </w:pPr>
      <w:r w:rsidRPr="00B916F5">
        <w:rPr>
          <w:lang w:eastAsia="ar-SA"/>
        </w:rPr>
        <w:tab/>
        <w:t>- правила использования (при наличии);</w:t>
      </w:r>
    </w:p>
    <w:p w:rsidR="00B916F5" w:rsidRPr="00B916F5" w:rsidRDefault="00B916F5" w:rsidP="00B916F5">
      <w:pPr>
        <w:widowControl w:val="0"/>
        <w:tabs>
          <w:tab w:val="left" w:pos="708"/>
        </w:tabs>
        <w:suppressAutoHyphens/>
        <w:rPr>
          <w:lang w:eastAsia="ar-SA"/>
        </w:rPr>
      </w:pPr>
      <w:r w:rsidRPr="00B916F5">
        <w:rPr>
          <w:lang w:eastAsia="ar-SA"/>
        </w:rPr>
        <w:tab/>
        <w:t>- штриховой код изделия (при наличии);</w:t>
      </w:r>
    </w:p>
    <w:p w:rsidR="00B916F5" w:rsidRPr="00B916F5" w:rsidRDefault="00B916F5" w:rsidP="00B916F5">
      <w:pPr>
        <w:widowControl w:val="0"/>
        <w:tabs>
          <w:tab w:val="left" w:pos="708"/>
        </w:tabs>
        <w:suppressAutoHyphens/>
        <w:rPr>
          <w:lang w:eastAsia="ar-SA"/>
        </w:rPr>
      </w:pPr>
      <w:r w:rsidRPr="00B916F5">
        <w:rPr>
          <w:lang w:eastAsia="ar-SA"/>
        </w:rPr>
        <w:tab/>
        <w:t>- информацию о сертификации (при наличии).</w:t>
      </w:r>
    </w:p>
    <w:p w:rsidR="00B916F5" w:rsidRPr="00B916F5" w:rsidRDefault="00B916F5" w:rsidP="00B916F5">
      <w:pPr>
        <w:suppressAutoHyphens/>
        <w:ind w:left="360"/>
        <w:jc w:val="center"/>
        <w:rPr>
          <w:b/>
          <w:bCs/>
          <w:kern w:val="2"/>
          <w:lang w:eastAsia="ar-SA"/>
        </w:rPr>
      </w:pPr>
      <w:r w:rsidRPr="00B916F5">
        <w:rPr>
          <w:b/>
          <w:bCs/>
          <w:kern w:val="2"/>
          <w:lang w:eastAsia="ar-SA"/>
        </w:rPr>
        <w:t>Требования к сроку и (или) объему предоставленных гарантий качества Товара</w:t>
      </w:r>
    </w:p>
    <w:p w:rsidR="00B916F5" w:rsidRPr="00B916F5" w:rsidRDefault="00B916F5" w:rsidP="00B916F5">
      <w:pPr>
        <w:widowControl w:val="0"/>
        <w:suppressAutoHyphens/>
        <w:autoSpaceDE w:val="0"/>
        <w:autoSpaceDN w:val="0"/>
        <w:adjustRightInd w:val="0"/>
        <w:ind w:firstLine="708"/>
        <w:rPr>
          <w:lang w:eastAsia="ar-SA"/>
        </w:rPr>
      </w:pPr>
      <w:r w:rsidRPr="00B916F5">
        <w:rPr>
          <w:lang w:eastAsia="ar-SA"/>
        </w:rPr>
        <w:t xml:space="preserve">Специальные средства при нарушениях функций выделения должны соответствовать требованиям государственных стандартов. </w:t>
      </w:r>
    </w:p>
    <w:p w:rsidR="00B916F5" w:rsidRPr="00B916F5" w:rsidRDefault="00B916F5" w:rsidP="00B916F5">
      <w:pPr>
        <w:widowControl w:val="0"/>
        <w:suppressAutoHyphens/>
        <w:autoSpaceDE w:val="0"/>
        <w:autoSpaceDN w:val="0"/>
        <w:adjustRightInd w:val="0"/>
        <w:ind w:firstLine="708"/>
        <w:rPr>
          <w:b/>
          <w:caps/>
          <w:lang w:eastAsia="ar-SA"/>
        </w:rPr>
      </w:pPr>
      <w:r w:rsidRPr="00B916F5">
        <w:rPr>
          <w:lang w:eastAsia="ar-SA"/>
        </w:rPr>
        <w:t>Срок годности специальных средств при нарушениях функций выделения - должен быть не менее 12 месяцев с момента изготовления Товара.</w:t>
      </w:r>
    </w:p>
    <w:p w:rsidR="00B916F5" w:rsidRPr="00B916F5" w:rsidRDefault="00B916F5" w:rsidP="00B916F5">
      <w:pPr>
        <w:suppressAutoHyphens/>
        <w:ind w:firstLine="720"/>
        <w:rPr>
          <w:lang w:eastAsia="ar-SA"/>
        </w:rPr>
      </w:pPr>
      <w:r w:rsidRPr="00B916F5">
        <w:rPr>
          <w:b/>
          <w:lang w:eastAsia="ar-SA"/>
        </w:rPr>
        <w:t>Сроки пользования:</w:t>
      </w:r>
      <w:r w:rsidRPr="00B916F5">
        <w:rPr>
          <w:lang w:eastAsia="ar-SA"/>
        </w:rPr>
        <w:t xml:space="preserve"> Товар должен иметь установленный производителем срок пользования, который со дня подписания Акта приема-передачи Товара Получателем, равен сроку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rsidR="00B916F5" w:rsidRDefault="00B916F5" w:rsidP="00B916F5">
      <w:pPr>
        <w:suppressAutoHyphens/>
        <w:ind w:firstLine="709"/>
        <w:rPr>
          <w:lang w:eastAsia="ar-SA"/>
        </w:rPr>
      </w:pPr>
      <w:r w:rsidRPr="00B916F5">
        <w:rPr>
          <w:b/>
          <w:color w:val="000000"/>
          <w:lang w:eastAsia="ar-SA"/>
        </w:rPr>
        <w:t>Место поставки:</w:t>
      </w:r>
      <w:r w:rsidRPr="00B916F5">
        <w:rPr>
          <w:color w:val="000000"/>
          <w:lang w:eastAsia="ar-SA"/>
        </w:rPr>
        <w:t xml:space="preserve"> Российская Федерация, Республика Северная Осетия-Алания. </w:t>
      </w:r>
      <w:r w:rsidRPr="00B916F5">
        <w:rPr>
          <w:lang w:eastAsia="ar-SA"/>
        </w:rPr>
        <w:t xml:space="preserve">Поставка </w:t>
      </w:r>
      <w:r w:rsidR="005D497F">
        <w:rPr>
          <w:lang w:eastAsia="ar-SA"/>
        </w:rPr>
        <w:t xml:space="preserve">должна </w:t>
      </w:r>
      <w:r w:rsidRPr="00B916F5">
        <w:rPr>
          <w:lang w:eastAsia="ar-SA"/>
        </w:rPr>
        <w:t>ос</w:t>
      </w:r>
      <w:r w:rsidR="005D497F">
        <w:rPr>
          <w:lang w:eastAsia="ar-SA"/>
        </w:rPr>
        <w:t>уществля</w:t>
      </w:r>
      <w:r w:rsidRPr="00B916F5">
        <w:rPr>
          <w:lang w:eastAsia="ar-SA"/>
        </w:rPr>
        <w:t>т</w:t>
      </w:r>
      <w:r w:rsidR="005D497F">
        <w:rPr>
          <w:lang w:eastAsia="ar-SA"/>
        </w:rPr>
        <w:t>ь</w:t>
      </w:r>
      <w:r w:rsidRPr="00B916F5">
        <w:rPr>
          <w:lang w:eastAsia="ar-SA"/>
        </w:rPr>
        <w:t>ся по месту нахождения Получателя или по месту нахождения пункта (пунктов) выдачи, организованных Поставщиком.</w:t>
      </w:r>
    </w:p>
    <w:p w:rsidR="00B916F5" w:rsidRPr="00B916F5" w:rsidRDefault="00F77101" w:rsidP="00B916F5">
      <w:pPr>
        <w:suppressAutoHyphens/>
        <w:ind w:firstLine="709"/>
        <w:rPr>
          <w:lang w:eastAsia="ar-SA"/>
        </w:rPr>
      </w:pPr>
      <w:bookmarkStart w:id="0" w:name="_GoBack"/>
      <w:r w:rsidRPr="00F77101">
        <w:rPr>
          <w:b/>
          <w:lang w:eastAsia="ar-SA"/>
        </w:rPr>
        <w:t>Сроки поставки:</w:t>
      </w:r>
      <w:r w:rsidRPr="00F77101">
        <w:rPr>
          <w:lang w:eastAsia="ar-SA"/>
        </w:rPr>
        <w:t xml:space="preserve"> </w:t>
      </w:r>
      <w:bookmarkEnd w:id="0"/>
      <w:r w:rsidRPr="00F77101">
        <w:rPr>
          <w:lang w:eastAsia="ar-SA"/>
        </w:rPr>
        <w:t>С момента заключения контракта не позднее 12 января 2024 года на склад поставщика, расположенный на территории РСО-Алания, должно быть поставлено 100 (сто) % общего объема товара, для возможности Заказчику провести проверку товара на соответствие количеству, комплектности, объему и качеству поставляемых товаров. Передать Товар непосредственно Получателю, но не позднее 31 июля 2024 года, на основании Направления в течение 20 (двадцати) календарных дней с момента получения направленных списков Получателей от заказчика при представлении им паспорта и Направления, выдаваемого Заказчиком.</w:t>
      </w:r>
    </w:p>
    <w:p w:rsidR="00C33823" w:rsidRPr="00EC358C" w:rsidRDefault="00C33823" w:rsidP="00C33823">
      <w:pPr>
        <w:ind w:firstLine="567"/>
        <w:rPr>
          <w:color w:val="000000" w:themeColor="text1"/>
        </w:rPr>
      </w:pPr>
      <w:r w:rsidRPr="00B916F5">
        <w:rPr>
          <w:color w:val="000000" w:themeColor="text1"/>
        </w:rPr>
        <w:t>Во исполнение Федерального</w:t>
      </w:r>
      <w:r w:rsidRPr="00EC358C">
        <w:rPr>
          <w:color w:val="000000" w:themeColor="text1"/>
        </w:rPr>
        <w:t xml:space="preserve"> закона от 5 апреля 2013 г. N 44-ФЗ "О контрактной системе в сфере закупок товаров, работ, услуг для обеспечения государстве</w:t>
      </w:r>
      <w:r w:rsidR="00BB576C">
        <w:rPr>
          <w:color w:val="000000" w:themeColor="text1"/>
        </w:rPr>
        <w:t>нных и муниципальных нужд" и  п.</w:t>
      </w:r>
      <w:r w:rsidRPr="00EC358C">
        <w:rPr>
          <w:color w:val="000000" w:themeColor="text1"/>
        </w:rPr>
        <w:t xml:space="preserve"> </w:t>
      </w:r>
      <w:r w:rsidR="00BB576C">
        <w:rPr>
          <w:color w:val="000000" w:themeColor="text1"/>
        </w:rPr>
        <w:t xml:space="preserve">5, п. </w:t>
      </w:r>
      <w:r w:rsidRPr="00EC358C">
        <w:rPr>
          <w:color w:val="000000" w:themeColor="text1"/>
        </w:rPr>
        <w:t xml:space="preserve">6 Правил использования каталога товаров, работ, услуг для обеспечения государственных и </w:t>
      </w:r>
      <w:r w:rsidRPr="00EC358C">
        <w:rPr>
          <w:color w:val="000000" w:themeColor="text1"/>
        </w:rPr>
        <w:lastRenderedPageBreak/>
        <w:t>муниципальных нужд (утв. постановлением Правительства РФ от 8 февраля 2017 г. N 145), Заказчиком при описании объекта закупки применены дополнительные функциональные, технические, качественные, эксплуатационные характеристики товара, работы, услуги, которые не предусмотрены в позиции каталога.</w:t>
      </w:r>
    </w:p>
    <w:p w:rsidR="00C33823" w:rsidRDefault="00C33823" w:rsidP="00C33823">
      <w:pPr>
        <w:tabs>
          <w:tab w:val="left" w:pos="360"/>
          <w:tab w:val="left" w:pos="1080"/>
        </w:tabs>
        <w:ind w:firstLine="720"/>
      </w:pPr>
      <w:r w:rsidRPr="00EC358C">
        <w:rPr>
          <w:color w:val="000000" w:themeColor="text1"/>
        </w:rPr>
        <w:t>В связи с чем, заказчик, руководствуясь частью 2 статьи 33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использовал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на основе анализа технических и качественных характеристик, имеющихся на рынке РФ, исходя из потребностей Заказчика, определенных на основании предоставленных инвалидами индивидуальных программ реабилитации.</w:t>
      </w:r>
    </w:p>
    <w:p w:rsidR="00241C11" w:rsidRDefault="00241C11" w:rsidP="00241C11">
      <w:pPr>
        <w:tabs>
          <w:tab w:val="left" w:pos="1020"/>
        </w:tabs>
        <w:rPr>
          <w:sz w:val="22"/>
          <w:szCs w:val="22"/>
        </w:rPr>
      </w:pPr>
    </w:p>
    <w:p w:rsidR="00273703" w:rsidRPr="00720BD3" w:rsidRDefault="00273703" w:rsidP="00CF2049">
      <w:pPr>
        <w:pStyle w:val="a7"/>
        <w:tabs>
          <w:tab w:val="left" w:pos="-142"/>
          <w:tab w:val="left" w:pos="10773"/>
        </w:tabs>
        <w:spacing w:after="0"/>
        <w:ind w:firstLine="567"/>
        <w:rPr>
          <w:b/>
          <w:caps/>
        </w:rPr>
      </w:pPr>
    </w:p>
    <w:sectPr w:rsidR="00273703" w:rsidRPr="00720BD3" w:rsidSect="00B916F5">
      <w:pgSz w:w="11906" w:h="16838"/>
      <w:pgMar w:top="993" w:right="424"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686" w:rsidRDefault="002E3686" w:rsidP="00273703">
      <w:r>
        <w:separator/>
      </w:r>
    </w:p>
  </w:endnote>
  <w:endnote w:type="continuationSeparator" w:id="0">
    <w:p w:rsidR="002E3686" w:rsidRDefault="002E3686" w:rsidP="0027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686" w:rsidRDefault="002E3686" w:rsidP="00273703">
      <w:r>
        <w:separator/>
      </w:r>
    </w:p>
  </w:footnote>
  <w:footnote w:type="continuationSeparator" w:id="0">
    <w:p w:rsidR="002E3686" w:rsidRDefault="002E3686" w:rsidP="00273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17C02"/>
    <w:multiLevelType w:val="hybridMultilevel"/>
    <w:tmpl w:val="42BEE82E"/>
    <w:lvl w:ilvl="0" w:tplc="7C8C8C9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03"/>
    <w:rsid w:val="00013304"/>
    <w:rsid w:val="00066406"/>
    <w:rsid w:val="000844A3"/>
    <w:rsid w:val="00087480"/>
    <w:rsid w:val="000A60A7"/>
    <w:rsid w:val="0011423B"/>
    <w:rsid w:val="00130800"/>
    <w:rsid w:val="00131EC9"/>
    <w:rsid w:val="00133A90"/>
    <w:rsid w:val="001961D6"/>
    <w:rsid w:val="00196DFF"/>
    <w:rsid w:val="001B3621"/>
    <w:rsid w:val="001F65E9"/>
    <w:rsid w:val="00241C11"/>
    <w:rsid w:val="002717BF"/>
    <w:rsid w:val="00272B79"/>
    <w:rsid w:val="00273703"/>
    <w:rsid w:val="002A59BE"/>
    <w:rsid w:val="002D0473"/>
    <w:rsid w:val="002E3686"/>
    <w:rsid w:val="002E4703"/>
    <w:rsid w:val="002E79BD"/>
    <w:rsid w:val="00304F8B"/>
    <w:rsid w:val="00311831"/>
    <w:rsid w:val="003275DA"/>
    <w:rsid w:val="003742F6"/>
    <w:rsid w:val="003A11A1"/>
    <w:rsid w:val="003A71C3"/>
    <w:rsid w:val="003E516D"/>
    <w:rsid w:val="0043532F"/>
    <w:rsid w:val="0046078F"/>
    <w:rsid w:val="00473986"/>
    <w:rsid w:val="00492202"/>
    <w:rsid w:val="004B035F"/>
    <w:rsid w:val="004F7201"/>
    <w:rsid w:val="005003A4"/>
    <w:rsid w:val="00521949"/>
    <w:rsid w:val="00524869"/>
    <w:rsid w:val="0052512B"/>
    <w:rsid w:val="00545A61"/>
    <w:rsid w:val="00586936"/>
    <w:rsid w:val="005B1575"/>
    <w:rsid w:val="005D497F"/>
    <w:rsid w:val="00602FDB"/>
    <w:rsid w:val="006110B4"/>
    <w:rsid w:val="00623566"/>
    <w:rsid w:val="006262CC"/>
    <w:rsid w:val="006306C1"/>
    <w:rsid w:val="00637791"/>
    <w:rsid w:val="00640ED0"/>
    <w:rsid w:val="00697956"/>
    <w:rsid w:val="007058AA"/>
    <w:rsid w:val="00720BD3"/>
    <w:rsid w:val="0072599D"/>
    <w:rsid w:val="00777487"/>
    <w:rsid w:val="007A428B"/>
    <w:rsid w:val="007E3578"/>
    <w:rsid w:val="007F1DB6"/>
    <w:rsid w:val="00811B6A"/>
    <w:rsid w:val="008360D9"/>
    <w:rsid w:val="00847BA6"/>
    <w:rsid w:val="00855E44"/>
    <w:rsid w:val="008B0FB1"/>
    <w:rsid w:val="008B147B"/>
    <w:rsid w:val="008E1CAA"/>
    <w:rsid w:val="008F1B2F"/>
    <w:rsid w:val="008F69C4"/>
    <w:rsid w:val="00902E20"/>
    <w:rsid w:val="00937E38"/>
    <w:rsid w:val="00944C0C"/>
    <w:rsid w:val="009457A7"/>
    <w:rsid w:val="009511F5"/>
    <w:rsid w:val="00981EAE"/>
    <w:rsid w:val="00985B59"/>
    <w:rsid w:val="00985C7C"/>
    <w:rsid w:val="009A5516"/>
    <w:rsid w:val="009A59E2"/>
    <w:rsid w:val="009C1023"/>
    <w:rsid w:val="009D12E9"/>
    <w:rsid w:val="009E1699"/>
    <w:rsid w:val="009E6C07"/>
    <w:rsid w:val="009F5667"/>
    <w:rsid w:val="009F705F"/>
    <w:rsid w:val="00A16C18"/>
    <w:rsid w:val="00A170AB"/>
    <w:rsid w:val="00A428A8"/>
    <w:rsid w:val="00AB338A"/>
    <w:rsid w:val="00AB7BBA"/>
    <w:rsid w:val="00AE6DEC"/>
    <w:rsid w:val="00AF0211"/>
    <w:rsid w:val="00B4098F"/>
    <w:rsid w:val="00B51411"/>
    <w:rsid w:val="00B73884"/>
    <w:rsid w:val="00B916F5"/>
    <w:rsid w:val="00BB2638"/>
    <w:rsid w:val="00BB576C"/>
    <w:rsid w:val="00BB7219"/>
    <w:rsid w:val="00C246AF"/>
    <w:rsid w:val="00C33823"/>
    <w:rsid w:val="00C61890"/>
    <w:rsid w:val="00C71DA9"/>
    <w:rsid w:val="00C82CB8"/>
    <w:rsid w:val="00C96049"/>
    <w:rsid w:val="00CE4432"/>
    <w:rsid w:val="00CE5166"/>
    <w:rsid w:val="00CF2049"/>
    <w:rsid w:val="00D15961"/>
    <w:rsid w:val="00D268BD"/>
    <w:rsid w:val="00D45881"/>
    <w:rsid w:val="00D6697B"/>
    <w:rsid w:val="00D84451"/>
    <w:rsid w:val="00DA23FB"/>
    <w:rsid w:val="00DC0282"/>
    <w:rsid w:val="00DC7CC0"/>
    <w:rsid w:val="00DE0096"/>
    <w:rsid w:val="00DF1F08"/>
    <w:rsid w:val="00E07BD4"/>
    <w:rsid w:val="00E143EA"/>
    <w:rsid w:val="00E20082"/>
    <w:rsid w:val="00E2451F"/>
    <w:rsid w:val="00E404C3"/>
    <w:rsid w:val="00E741F1"/>
    <w:rsid w:val="00EA661A"/>
    <w:rsid w:val="00EB50F1"/>
    <w:rsid w:val="00EC2662"/>
    <w:rsid w:val="00F129DA"/>
    <w:rsid w:val="00F4192E"/>
    <w:rsid w:val="00F6769E"/>
    <w:rsid w:val="00F7108D"/>
    <w:rsid w:val="00F722FB"/>
    <w:rsid w:val="00F77101"/>
    <w:rsid w:val="00FE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62B97-806A-4593-9FE3-FE2C9A99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703"/>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16"/>
    <w:basedOn w:val="a"/>
    <w:link w:val="a4"/>
    <w:uiPriority w:val="99"/>
    <w:rsid w:val="00273703"/>
    <w:pPr>
      <w:jc w:val="left"/>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uiPriority w:val="99"/>
    <w:rsid w:val="00273703"/>
    <w:rPr>
      <w:rFonts w:ascii="Times New Roman" w:eastAsia="Times New Roman" w:hAnsi="Times New Roman" w:cs="Times New Roman"/>
      <w:sz w:val="20"/>
      <w:szCs w:val="20"/>
      <w:lang w:eastAsia="ru-RU"/>
    </w:rPr>
  </w:style>
  <w:style w:type="character" w:styleId="a5">
    <w:name w:val="footnote reference"/>
    <w:aliases w:val="Ссылка на сноску 45"/>
    <w:uiPriority w:val="99"/>
    <w:rsid w:val="00273703"/>
    <w:rPr>
      <w:vertAlign w:val="superscript"/>
    </w:rPr>
  </w:style>
  <w:style w:type="table" w:styleId="a6">
    <w:name w:val="Table Grid"/>
    <w:basedOn w:val="a1"/>
    <w:uiPriority w:val="59"/>
    <w:rsid w:val="00E741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E741F1"/>
    <w:pPr>
      <w:spacing w:after="120"/>
    </w:pPr>
  </w:style>
  <w:style w:type="character" w:customStyle="1" w:styleId="a8">
    <w:name w:val="Основной текст Знак"/>
    <w:basedOn w:val="a0"/>
    <w:link w:val="a7"/>
    <w:rsid w:val="00E741F1"/>
    <w:rPr>
      <w:rFonts w:ascii="Times New Roman" w:eastAsia="Times New Roman" w:hAnsi="Times New Roman" w:cs="Times New Roman"/>
      <w:sz w:val="24"/>
      <w:szCs w:val="24"/>
      <w:lang w:eastAsia="ru-RU"/>
    </w:rPr>
  </w:style>
  <w:style w:type="paragraph" w:styleId="a9">
    <w:name w:val="Normal (Web)"/>
    <w:basedOn w:val="a"/>
    <w:uiPriority w:val="99"/>
    <w:rsid w:val="00AB338A"/>
    <w:pPr>
      <w:spacing w:before="100" w:beforeAutospacing="1" w:after="119"/>
      <w:jc w:val="left"/>
    </w:pPr>
  </w:style>
  <w:style w:type="paragraph" w:styleId="3">
    <w:name w:val="Body Text 3"/>
    <w:basedOn w:val="a"/>
    <w:link w:val="30"/>
    <w:unhideWhenUsed/>
    <w:rsid w:val="00811B6A"/>
    <w:pPr>
      <w:spacing w:after="120"/>
      <w:jc w:val="left"/>
    </w:pPr>
    <w:rPr>
      <w:sz w:val="16"/>
      <w:szCs w:val="16"/>
      <w:lang w:val="x-none" w:eastAsia="x-none"/>
    </w:rPr>
  </w:style>
  <w:style w:type="character" w:customStyle="1" w:styleId="30">
    <w:name w:val="Основной текст 3 Знак"/>
    <w:basedOn w:val="a0"/>
    <w:link w:val="3"/>
    <w:rsid w:val="00811B6A"/>
    <w:rPr>
      <w:rFonts w:ascii="Times New Roman" w:eastAsia="Times New Roman" w:hAnsi="Times New Roman" w:cs="Times New Roman"/>
      <w:sz w:val="16"/>
      <w:szCs w:val="16"/>
      <w:lang w:val="x-none" w:eastAsia="x-none"/>
    </w:rPr>
  </w:style>
  <w:style w:type="paragraph" w:customStyle="1" w:styleId="formattext">
    <w:name w:val="formattext"/>
    <w:basedOn w:val="a"/>
    <w:rsid w:val="00847BA6"/>
    <w:pPr>
      <w:spacing w:before="100" w:beforeAutospacing="1" w:after="100" w:afterAutospacing="1"/>
      <w:jc w:val="left"/>
    </w:pPr>
  </w:style>
  <w:style w:type="paragraph" w:customStyle="1" w:styleId="aa">
    <w:name w:val="Заголовок"/>
    <w:basedOn w:val="a"/>
    <w:next w:val="a7"/>
    <w:rsid w:val="00847BA6"/>
    <w:pPr>
      <w:keepNext/>
      <w:suppressAutoHyphens/>
      <w:spacing w:before="240" w:after="120"/>
      <w:jc w:val="left"/>
    </w:pPr>
    <w:rPr>
      <w:rFonts w:ascii="Arial" w:eastAsia="MS Mincho" w:hAnsi="Arial" w:cs="Tahoma"/>
      <w:sz w:val="28"/>
      <w:szCs w:val="28"/>
      <w:lang w:eastAsia="ar-SA"/>
    </w:rPr>
  </w:style>
  <w:style w:type="paragraph" w:styleId="ab">
    <w:name w:val="Title"/>
    <w:basedOn w:val="a"/>
    <w:next w:val="ac"/>
    <w:link w:val="ad"/>
    <w:qFormat/>
    <w:rsid w:val="00B51411"/>
    <w:pPr>
      <w:suppressAutoHyphens/>
      <w:jc w:val="center"/>
    </w:pPr>
    <w:rPr>
      <w:b/>
      <w:bCs/>
      <w:sz w:val="36"/>
      <w:lang w:eastAsia="ar-SA"/>
    </w:rPr>
  </w:style>
  <w:style w:type="character" w:customStyle="1" w:styleId="ad">
    <w:name w:val="Название Знак"/>
    <w:basedOn w:val="a0"/>
    <w:link w:val="ab"/>
    <w:rsid w:val="00B51411"/>
    <w:rPr>
      <w:rFonts w:ascii="Times New Roman" w:eastAsia="Times New Roman" w:hAnsi="Times New Roman" w:cs="Times New Roman"/>
      <w:b/>
      <w:bCs/>
      <w:sz w:val="36"/>
      <w:szCs w:val="24"/>
      <w:lang w:eastAsia="ar-SA"/>
    </w:rPr>
  </w:style>
  <w:style w:type="paragraph" w:styleId="ac">
    <w:name w:val="Subtitle"/>
    <w:basedOn w:val="a"/>
    <w:next w:val="a"/>
    <w:link w:val="ae"/>
    <w:uiPriority w:val="11"/>
    <w:qFormat/>
    <w:rsid w:val="00B514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0"/>
    <w:link w:val="ac"/>
    <w:uiPriority w:val="11"/>
    <w:rsid w:val="00B51411"/>
    <w:rPr>
      <w:rFonts w:eastAsiaTheme="minorEastAsia"/>
      <w:color w:val="5A5A5A" w:themeColor="text1" w:themeTint="A5"/>
      <w:spacing w:val="15"/>
      <w:lang w:eastAsia="ru-RU"/>
    </w:rPr>
  </w:style>
  <w:style w:type="character" w:customStyle="1" w:styleId="FontStyle25">
    <w:name w:val="Font Style25"/>
    <w:rsid w:val="00B51411"/>
    <w:rPr>
      <w:rFonts w:ascii="Times New Roman" w:hAnsi="Times New Roman" w:cs="Times New Roman"/>
      <w:sz w:val="18"/>
      <w:szCs w:val="18"/>
    </w:rPr>
  </w:style>
  <w:style w:type="paragraph" w:customStyle="1" w:styleId="Textbody">
    <w:name w:val="Text body"/>
    <w:basedOn w:val="a"/>
    <w:rsid w:val="007A428B"/>
    <w:pPr>
      <w:suppressAutoHyphens/>
      <w:autoSpaceDN w:val="0"/>
      <w:jc w:val="left"/>
      <w:textAlignment w:val="baseline"/>
    </w:pPr>
    <w:rPr>
      <w:kern w:val="3"/>
      <w:sz w:val="28"/>
      <w:szCs w:val="20"/>
    </w:rPr>
  </w:style>
  <w:style w:type="paragraph" w:styleId="af">
    <w:name w:val="Balloon Text"/>
    <w:basedOn w:val="a"/>
    <w:link w:val="af0"/>
    <w:uiPriority w:val="99"/>
    <w:semiHidden/>
    <w:unhideWhenUsed/>
    <w:rsid w:val="00EB50F1"/>
    <w:rPr>
      <w:rFonts w:ascii="Segoe UI" w:hAnsi="Segoe UI" w:cs="Segoe UI"/>
      <w:sz w:val="18"/>
      <w:szCs w:val="18"/>
    </w:rPr>
  </w:style>
  <w:style w:type="character" w:customStyle="1" w:styleId="af0">
    <w:name w:val="Текст выноски Знак"/>
    <w:basedOn w:val="a0"/>
    <w:link w:val="af"/>
    <w:uiPriority w:val="99"/>
    <w:semiHidden/>
    <w:rsid w:val="00EB50F1"/>
    <w:rPr>
      <w:rFonts w:ascii="Segoe UI" w:eastAsia="Times New Roman" w:hAnsi="Segoe UI" w:cs="Segoe UI"/>
      <w:sz w:val="18"/>
      <w:szCs w:val="18"/>
      <w:lang w:eastAsia="ru-RU"/>
    </w:rPr>
  </w:style>
  <w:style w:type="character" w:customStyle="1" w:styleId="2">
    <w:name w:val="Основной шрифт абзаца2"/>
    <w:rsid w:val="00B9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23984">
      <w:bodyDiv w:val="1"/>
      <w:marLeft w:val="0"/>
      <w:marRight w:val="0"/>
      <w:marTop w:val="0"/>
      <w:marBottom w:val="0"/>
      <w:divBdr>
        <w:top w:val="none" w:sz="0" w:space="0" w:color="auto"/>
        <w:left w:val="none" w:sz="0" w:space="0" w:color="auto"/>
        <w:bottom w:val="none" w:sz="0" w:space="0" w:color="auto"/>
        <w:right w:val="none" w:sz="0" w:space="0" w:color="auto"/>
      </w:divBdr>
    </w:div>
    <w:div w:id="8215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05807-D749-4473-AF14-E24BAF9F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Фидарова Виктория Фридриховна</dc:creator>
  <cp:keywords/>
  <dc:description/>
  <cp:lastModifiedBy>Касабиева Эльмира Эльбрусовна</cp:lastModifiedBy>
  <cp:revision>16</cp:revision>
  <cp:lastPrinted>2023-06-29T13:23:00Z</cp:lastPrinted>
  <dcterms:created xsi:type="dcterms:W3CDTF">2023-05-30T12:40:00Z</dcterms:created>
  <dcterms:modified xsi:type="dcterms:W3CDTF">2023-11-27T10:50:00Z</dcterms:modified>
</cp:coreProperties>
</file>