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6C5D67" w:rsidRDefault="001C416F" w:rsidP="004C523A">
      <w:pPr>
        <w:keepNext/>
        <w:widowControl w:val="0"/>
        <w:suppressAutoHyphens w:val="0"/>
        <w:ind w:firstLine="709"/>
        <w:jc w:val="right"/>
        <w:rPr>
          <w:bCs/>
          <w:color w:val="000000" w:themeColor="text1"/>
        </w:rPr>
      </w:pPr>
      <w:r w:rsidRPr="006C5D67">
        <w:rPr>
          <w:bCs/>
          <w:color w:val="000000" w:themeColor="text1"/>
        </w:rPr>
        <w:t>Приложение № 1</w:t>
      </w:r>
    </w:p>
    <w:p w:rsidR="001C416F" w:rsidRPr="006C5D67" w:rsidRDefault="001C416F" w:rsidP="004C523A">
      <w:pPr>
        <w:keepNext/>
        <w:widowControl w:val="0"/>
        <w:suppressAutoHyphens w:val="0"/>
        <w:ind w:firstLine="709"/>
        <w:jc w:val="right"/>
        <w:rPr>
          <w:color w:val="000000" w:themeColor="text1"/>
        </w:rPr>
      </w:pPr>
      <w:r w:rsidRPr="006C5D67">
        <w:rPr>
          <w:bCs/>
          <w:color w:val="000000" w:themeColor="text1"/>
        </w:rPr>
        <w:t xml:space="preserve">к </w:t>
      </w:r>
      <w:r w:rsidRPr="006C5D67">
        <w:rPr>
          <w:color w:val="000000" w:themeColor="text1"/>
        </w:rPr>
        <w:t>извещению о проведении</w:t>
      </w:r>
    </w:p>
    <w:p w:rsidR="001C416F" w:rsidRPr="006C5D67" w:rsidRDefault="001C416F" w:rsidP="004C523A">
      <w:pPr>
        <w:keepNext/>
        <w:widowControl w:val="0"/>
        <w:suppressAutoHyphens w:val="0"/>
        <w:ind w:firstLine="709"/>
        <w:jc w:val="right"/>
        <w:rPr>
          <w:color w:val="000000" w:themeColor="text1"/>
          <w:lang w:eastAsia="ru-RU"/>
        </w:rPr>
      </w:pPr>
      <w:r w:rsidRPr="006C5D67">
        <w:rPr>
          <w:color w:val="000000" w:themeColor="text1"/>
        </w:rPr>
        <w:t xml:space="preserve">открытого </w:t>
      </w:r>
      <w:r w:rsidRPr="006C5D67">
        <w:rPr>
          <w:color w:val="000000" w:themeColor="text1"/>
          <w:lang w:eastAsia="ru-RU"/>
        </w:rPr>
        <w:t>аукциона</w:t>
      </w:r>
    </w:p>
    <w:p w:rsidR="001C416F" w:rsidRPr="006C5D67" w:rsidRDefault="001C416F" w:rsidP="004C523A">
      <w:pPr>
        <w:keepNext/>
        <w:widowControl w:val="0"/>
        <w:suppressAutoHyphens w:val="0"/>
        <w:ind w:firstLine="709"/>
        <w:jc w:val="right"/>
        <w:rPr>
          <w:b/>
          <w:color w:val="000000" w:themeColor="text1"/>
        </w:rPr>
      </w:pPr>
      <w:r w:rsidRPr="006C5D67">
        <w:rPr>
          <w:color w:val="000000" w:themeColor="text1"/>
          <w:lang w:eastAsia="ru-RU"/>
        </w:rPr>
        <w:t>в электронной форме</w:t>
      </w:r>
    </w:p>
    <w:p w:rsidR="00971A3D" w:rsidRPr="006C5D67" w:rsidRDefault="00971A3D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314E96" w:rsidRDefault="00AA2B12" w:rsidP="00FE7330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  <w:r w:rsidRPr="006C5D67">
        <w:rPr>
          <w:b/>
          <w:color w:val="000000" w:themeColor="text1"/>
        </w:rPr>
        <w:t>Описание объекта закупки</w:t>
      </w:r>
    </w:p>
    <w:p w:rsidR="00314E96" w:rsidRPr="006C5D67" w:rsidRDefault="00314E96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(Технические требования)</w:t>
      </w:r>
    </w:p>
    <w:p w:rsidR="00A140F4" w:rsidRDefault="00A140F4" w:rsidP="00A140F4">
      <w:pPr>
        <w:keepNext/>
        <w:ind w:left="567"/>
        <w:jc w:val="center"/>
        <w:rPr>
          <w:i/>
          <w:color w:val="FF0000"/>
        </w:rPr>
      </w:pPr>
      <w:r>
        <w:rPr>
          <w:i/>
          <w:color w:val="FF0000"/>
        </w:rPr>
        <w:t>(в редакции от 02.02.2024)</w:t>
      </w:r>
    </w:p>
    <w:p w:rsidR="001C416F" w:rsidRPr="006C5D67" w:rsidRDefault="001C416F" w:rsidP="004C523A">
      <w:pPr>
        <w:keepNext/>
        <w:widowControl w:val="0"/>
        <w:suppressAutoHyphens w:val="0"/>
        <w:ind w:firstLine="709"/>
        <w:jc w:val="center"/>
        <w:rPr>
          <w:b/>
          <w:color w:val="000000" w:themeColor="text1"/>
        </w:rPr>
      </w:pPr>
    </w:p>
    <w:p w:rsidR="00AA2B12" w:rsidRDefault="001C416F" w:rsidP="004C523A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  <w:r w:rsidRPr="006C5D67">
        <w:rPr>
          <w:color w:val="000000" w:themeColor="text1"/>
        </w:rPr>
        <w:t xml:space="preserve">Наименование объекта закупки: Поставка </w:t>
      </w:r>
      <w:r w:rsidR="00615300" w:rsidRPr="006C5D67">
        <w:rPr>
          <w:color w:val="000000" w:themeColor="text1"/>
        </w:rPr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E87CFB" w:rsidRDefault="00E87CFB" w:rsidP="004C523A">
      <w:pPr>
        <w:keepNext/>
        <w:widowControl w:val="0"/>
        <w:suppressAutoHyphens w:val="0"/>
        <w:ind w:firstLine="851"/>
        <w:jc w:val="both"/>
        <w:rPr>
          <w:color w:val="000000" w:themeColor="text1"/>
        </w:rPr>
      </w:pPr>
    </w:p>
    <w:tbl>
      <w:tblPr>
        <w:tblW w:w="11032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8"/>
        <w:gridCol w:w="1386"/>
        <w:gridCol w:w="2032"/>
        <w:gridCol w:w="2665"/>
        <w:gridCol w:w="1891"/>
        <w:gridCol w:w="1373"/>
      </w:tblGrid>
      <w:tr w:rsidR="00D735FD" w:rsidRPr="00D3693E" w:rsidTr="00D735FD">
        <w:trPr>
          <w:jc w:val="center"/>
        </w:trPr>
        <w:tc>
          <w:tcPr>
            <w:tcW w:w="567" w:type="dxa"/>
          </w:tcPr>
          <w:p w:rsidR="00D735FD" w:rsidRPr="00D3693E" w:rsidRDefault="00D735FD" w:rsidP="00356F25">
            <w:pPr>
              <w:keepNext/>
              <w:widowControl w:val="0"/>
              <w:jc w:val="center"/>
            </w:pPr>
            <w:r w:rsidRPr="00D3693E">
              <w:t>№</w:t>
            </w:r>
          </w:p>
          <w:p w:rsidR="00D735FD" w:rsidRPr="00D3693E" w:rsidRDefault="00D735FD" w:rsidP="00356F25">
            <w:pPr>
              <w:keepNext/>
              <w:widowControl w:val="0"/>
              <w:jc w:val="center"/>
            </w:pPr>
            <w:proofErr w:type="gramStart"/>
            <w:r w:rsidRPr="00D3693E">
              <w:t>п</w:t>
            </w:r>
            <w:proofErr w:type="gramEnd"/>
            <w:r w:rsidRPr="00D3693E">
              <w:t>/п</w:t>
            </w:r>
          </w:p>
        </w:tc>
        <w:tc>
          <w:tcPr>
            <w:tcW w:w="1118" w:type="dxa"/>
          </w:tcPr>
          <w:p w:rsidR="00D735FD" w:rsidRPr="00D3693E" w:rsidRDefault="00D735FD" w:rsidP="00356F25">
            <w:pPr>
              <w:keepNext/>
              <w:widowControl w:val="0"/>
              <w:jc w:val="center"/>
            </w:pPr>
            <w:r w:rsidRPr="00D3693E">
              <w:t>Наименование Товара</w:t>
            </w:r>
          </w:p>
        </w:tc>
        <w:tc>
          <w:tcPr>
            <w:tcW w:w="1386" w:type="dxa"/>
          </w:tcPr>
          <w:p w:rsidR="00D735FD" w:rsidRPr="00D3693E" w:rsidRDefault="00D735FD" w:rsidP="00356F25">
            <w:pPr>
              <w:keepNext/>
              <w:widowControl w:val="0"/>
              <w:jc w:val="center"/>
            </w:pPr>
            <w:r w:rsidRPr="00D3693E">
              <w:t>КТРУ/</w:t>
            </w:r>
          </w:p>
          <w:p w:rsidR="00D735FD" w:rsidRPr="00D3693E" w:rsidRDefault="00D735FD" w:rsidP="00356F25">
            <w:pPr>
              <w:keepNext/>
              <w:widowControl w:val="0"/>
              <w:jc w:val="center"/>
            </w:pPr>
            <w:r w:rsidRPr="00D3693E">
              <w:t>ОКПД</w:t>
            </w:r>
            <w:proofErr w:type="gramStart"/>
            <w:r w:rsidRPr="00D3693E">
              <w:t>2</w:t>
            </w:r>
            <w:proofErr w:type="gramEnd"/>
          </w:p>
        </w:tc>
        <w:tc>
          <w:tcPr>
            <w:tcW w:w="2032" w:type="dxa"/>
          </w:tcPr>
          <w:p w:rsidR="00D735FD" w:rsidRPr="00D3693E" w:rsidRDefault="00D735FD" w:rsidP="00FE7330">
            <w:pPr>
              <w:keepNext/>
              <w:widowControl w:val="0"/>
              <w:ind w:left="-89"/>
              <w:jc w:val="center"/>
            </w:pPr>
            <w:r w:rsidRPr="00D3693E">
              <w:t>Наименование характеристики</w:t>
            </w:r>
          </w:p>
        </w:tc>
        <w:tc>
          <w:tcPr>
            <w:tcW w:w="2665" w:type="dxa"/>
          </w:tcPr>
          <w:p w:rsidR="00D735FD" w:rsidRPr="00D3693E" w:rsidRDefault="00D735FD" w:rsidP="00356F25">
            <w:pPr>
              <w:keepNext/>
              <w:widowControl w:val="0"/>
              <w:jc w:val="center"/>
            </w:pPr>
            <w:r w:rsidRPr="00D3693E">
              <w:t>Значение характеристики</w:t>
            </w:r>
          </w:p>
        </w:tc>
        <w:tc>
          <w:tcPr>
            <w:tcW w:w="1891" w:type="dxa"/>
          </w:tcPr>
          <w:p w:rsidR="00D735FD" w:rsidRPr="00D3693E" w:rsidRDefault="00D735FD" w:rsidP="00356F25">
            <w:pPr>
              <w:keepNext/>
              <w:widowControl w:val="0"/>
              <w:ind w:left="-37" w:right="-52"/>
              <w:jc w:val="center"/>
            </w:pPr>
            <w:r w:rsidRPr="00D3693E">
              <w:t>Инструкция по заполнению характеристик</w:t>
            </w:r>
          </w:p>
          <w:p w:rsidR="00D735FD" w:rsidRPr="00D3693E" w:rsidRDefault="00D735FD" w:rsidP="00356F25">
            <w:pPr>
              <w:keepNext/>
              <w:widowControl w:val="0"/>
              <w:ind w:left="-37" w:right="-52"/>
              <w:jc w:val="center"/>
            </w:pPr>
            <w:r w:rsidRPr="00D3693E">
              <w:t>в заявке</w:t>
            </w:r>
          </w:p>
        </w:tc>
        <w:tc>
          <w:tcPr>
            <w:tcW w:w="1373" w:type="dxa"/>
          </w:tcPr>
          <w:p w:rsidR="00D735FD" w:rsidRPr="00D3693E" w:rsidRDefault="00D735FD" w:rsidP="00356F25">
            <w:pPr>
              <w:keepNext/>
              <w:widowControl w:val="0"/>
              <w:ind w:left="-37" w:right="-52"/>
              <w:jc w:val="center"/>
            </w:pPr>
            <w:r w:rsidRPr="00D3693E">
              <w:t>Количество</w:t>
            </w:r>
            <w:proofErr w:type="gramStart"/>
            <w:r w:rsidRPr="00D3693E">
              <w:t xml:space="preserve"> ,</w:t>
            </w:r>
            <w:proofErr w:type="gramEnd"/>
            <w:r w:rsidRPr="00D3693E">
              <w:t xml:space="preserve"> </w:t>
            </w:r>
            <w:proofErr w:type="spellStart"/>
            <w:r w:rsidRPr="00D3693E">
              <w:t>шт</w:t>
            </w:r>
            <w:proofErr w:type="spellEnd"/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 w:val="restart"/>
          </w:tcPr>
          <w:p w:rsidR="00FE7330" w:rsidRPr="00D3693E" w:rsidRDefault="00231388" w:rsidP="00356F25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1118" w:type="dxa"/>
            <w:vMerge w:val="restart"/>
          </w:tcPr>
          <w:p w:rsidR="00FE7330" w:rsidRPr="00D3693E" w:rsidRDefault="00FE7330" w:rsidP="00356F25">
            <w:pPr>
              <w:pStyle w:val="ac"/>
              <w:keepNext/>
              <w:widowControl w:val="0"/>
              <w:ind w:left="-91" w:right="-8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 коду КТРУ:</w:t>
            </w:r>
          </w:p>
          <w:p w:rsidR="00FE7330" w:rsidRPr="00D3693E" w:rsidRDefault="00FE7330" w:rsidP="00356F25">
            <w:pPr>
              <w:keepNext/>
              <w:widowControl w:val="0"/>
              <w:snapToGrid w:val="0"/>
              <w:ind w:left="-91" w:right="-85"/>
              <w:jc w:val="center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 xml:space="preserve">Калоприемник для </w:t>
            </w:r>
            <w:proofErr w:type="spellStart"/>
            <w:r w:rsidRPr="00D3693E">
              <w:rPr>
                <w:color w:val="000000" w:themeColor="text1"/>
              </w:rPr>
              <w:t>колостомы</w:t>
            </w:r>
            <w:proofErr w:type="spellEnd"/>
            <w:r w:rsidRPr="00D3693E">
              <w:rPr>
                <w:color w:val="000000" w:themeColor="text1"/>
              </w:rPr>
              <w:t xml:space="preserve"> закрытый, однокомпонентный</w:t>
            </w:r>
          </w:p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 w:val="restart"/>
          </w:tcPr>
          <w:p w:rsidR="00FE7330" w:rsidRPr="00D3693E" w:rsidRDefault="00FE7330" w:rsidP="00356F25">
            <w:pPr>
              <w:keepNext/>
              <w:widowControl w:val="0"/>
              <w:jc w:val="center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>32.50.13.190-00006905/</w:t>
            </w:r>
          </w:p>
          <w:p w:rsidR="00FE7330" w:rsidRPr="00D3693E" w:rsidRDefault="00FE7330" w:rsidP="00356F25">
            <w:pPr>
              <w:keepNext/>
              <w:widowControl w:val="0"/>
              <w:jc w:val="center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>32.50.13.190</w:t>
            </w:r>
          </w:p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  <w:r w:rsidRPr="00D3693E">
              <w:rPr>
                <w:color w:val="000000" w:themeColor="text1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D3693E">
              <w:rPr>
                <w:color w:val="000000" w:themeColor="text1"/>
              </w:rPr>
              <w:t>недренируемый</w:t>
            </w:r>
            <w:proofErr w:type="spellEnd"/>
            <w:r w:rsidRPr="00D3693E">
              <w:rPr>
                <w:color w:val="000000" w:themeColor="text1"/>
              </w:rPr>
              <w:t xml:space="preserve"> калоприемник со встроенной плоской пластиной</w:t>
            </w:r>
          </w:p>
        </w:tc>
        <w:tc>
          <w:tcPr>
            <w:tcW w:w="1891" w:type="dxa"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  <w:r w:rsidRPr="00D3693E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 w:val="restart"/>
          </w:tcPr>
          <w:p w:rsidR="00FE7330" w:rsidRPr="00D3693E" w:rsidRDefault="00231388" w:rsidP="00356F25">
            <w:pPr>
              <w:keepNext/>
              <w:widowControl w:val="0"/>
              <w:ind w:left="-37" w:right="-52"/>
              <w:jc w:val="center"/>
              <w:rPr>
                <w:highlight w:val="yellow"/>
              </w:rPr>
            </w:pPr>
            <w:r>
              <w:t>33 100</w:t>
            </w: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suppressAutoHyphens w:val="0"/>
              <w:ind w:left="-99" w:right="-68"/>
              <w:jc w:val="center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>Описание изделия</w:t>
            </w:r>
          </w:p>
        </w:tc>
        <w:tc>
          <w:tcPr>
            <w:tcW w:w="2665" w:type="dxa"/>
          </w:tcPr>
          <w:p w:rsidR="00FE7330" w:rsidRPr="00D3693E" w:rsidRDefault="00FE7330" w:rsidP="00FE7330">
            <w:pPr>
              <w:widowControl w:val="0"/>
              <w:ind w:left="-99"/>
              <w:jc w:val="both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D3693E">
              <w:rPr>
                <w:color w:val="000000" w:themeColor="text1"/>
              </w:rPr>
              <w:t>стомы</w:t>
            </w:r>
            <w:proofErr w:type="spellEnd"/>
            <w:r w:rsidRPr="00D3693E">
              <w:rPr>
                <w:color w:val="000000" w:themeColor="text1"/>
              </w:rPr>
              <w:t xml:space="preserve"> и использования в качестве ёмкости для сбора фекалий после </w:t>
            </w:r>
            <w:proofErr w:type="spellStart"/>
            <w:r w:rsidRPr="00D3693E">
              <w:rPr>
                <w:color w:val="000000" w:themeColor="text1"/>
              </w:rPr>
              <w:t>колостомии</w:t>
            </w:r>
            <w:proofErr w:type="spellEnd"/>
            <w:r w:rsidRPr="00D3693E">
              <w:rPr>
                <w:color w:val="000000" w:themeColor="text1"/>
              </w:rPr>
              <w:t>.</w:t>
            </w:r>
          </w:p>
          <w:p w:rsidR="00FE7330" w:rsidRPr="00D3693E" w:rsidRDefault="00FE7330" w:rsidP="00FE7330">
            <w:pPr>
              <w:keepNext/>
              <w:widowControl w:val="0"/>
              <w:ind w:left="-61" w:right="-72"/>
              <w:jc w:val="both"/>
            </w:pPr>
            <w:r w:rsidRPr="00D3693E">
              <w:rPr>
                <w:color w:val="000000" w:themeColor="text1"/>
              </w:rPr>
              <w:t xml:space="preserve">Однокомпонентный </w:t>
            </w:r>
            <w:proofErr w:type="spellStart"/>
            <w:r w:rsidRPr="00D3693E">
              <w:rPr>
                <w:color w:val="000000" w:themeColor="text1"/>
              </w:rPr>
              <w:t>недренируемый</w:t>
            </w:r>
            <w:proofErr w:type="spellEnd"/>
            <w:r w:rsidRPr="00D3693E">
              <w:rPr>
                <w:color w:val="000000" w:themeColor="text1"/>
              </w:rPr>
              <w:t xml:space="preserve"> (закрытый) калоприёмник со встроенной плоской пластиной - </w:t>
            </w:r>
            <w:proofErr w:type="spellStart"/>
            <w:r w:rsidRPr="00D3693E">
              <w:rPr>
                <w:color w:val="000000" w:themeColor="text1"/>
              </w:rPr>
              <w:t>недренируемый</w:t>
            </w:r>
            <w:proofErr w:type="spellEnd"/>
            <w:r w:rsidRPr="00D3693E">
              <w:rPr>
                <w:color w:val="000000" w:themeColor="text1"/>
              </w:rPr>
              <w:t xml:space="preserve"> </w:t>
            </w:r>
            <w:proofErr w:type="spellStart"/>
            <w:r w:rsidRPr="00D3693E">
              <w:rPr>
                <w:color w:val="000000" w:themeColor="text1"/>
              </w:rPr>
              <w:t>стомный</w:t>
            </w:r>
            <w:proofErr w:type="spellEnd"/>
            <w:r w:rsidRPr="00D3693E">
              <w:rPr>
                <w:color w:val="000000" w:themeColor="text1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D3693E">
              <w:rPr>
                <w:color w:val="000000" w:themeColor="text1"/>
              </w:rPr>
              <w:t>гипоаллергенной</w:t>
            </w:r>
            <w:proofErr w:type="spellEnd"/>
            <w:r w:rsidRPr="00D3693E">
              <w:rPr>
                <w:color w:val="000000" w:themeColor="text1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3693E">
              <w:rPr>
                <w:color w:val="000000" w:themeColor="text1"/>
              </w:rPr>
              <w:t>стому</w:t>
            </w:r>
            <w:proofErr w:type="spellEnd"/>
            <w:r w:rsidRPr="00D3693E">
              <w:rPr>
                <w:color w:val="000000" w:themeColor="text1"/>
              </w:rPr>
              <w:t>.</w:t>
            </w:r>
          </w:p>
        </w:tc>
        <w:tc>
          <w:tcPr>
            <w:tcW w:w="1891" w:type="dxa"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  <w:r w:rsidRPr="00D3693E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  <w:r w:rsidRPr="00D3693E">
              <w:t>Материал (плёнка) мешка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Многослойный, не пропускающий запах, с нетканым покрытием </w:t>
            </w:r>
          </w:p>
        </w:tc>
        <w:tc>
          <w:tcPr>
            <w:tcW w:w="1891" w:type="dxa"/>
          </w:tcPr>
          <w:p w:rsidR="00FE7330" w:rsidRPr="00D3693E" w:rsidRDefault="00FE7330" w:rsidP="00356F25">
            <w:pPr>
              <w:keepNext/>
              <w:widowControl w:val="0"/>
              <w:ind w:left="-89" w:right="-52"/>
              <w:jc w:val="center"/>
            </w:pPr>
            <w:r w:rsidRPr="00D3693E">
              <w:t xml:space="preserve">Значение характеристики не может </w:t>
            </w:r>
            <w:r w:rsidRPr="00D3693E">
              <w:lastRenderedPageBreak/>
              <w:t>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suppressAutoHyphens w:val="0"/>
              <w:ind w:left="-99"/>
              <w:jc w:val="center"/>
            </w:pPr>
            <w:r w:rsidRPr="00D3693E">
              <w:t>Прозрачность материала (плёнка) мешка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Непрозрачный </w:t>
            </w:r>
          </w:p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или </w:t>
            </w:r>
          </w:p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прозрачный </w:t>
            </w:r>
          </w:p>
        </w:tc>
        <w:tc>
          <w:tcPr>
            <w:tcW w:w="1891" w:type="dxa"/>
          </w:tcPr>
          <w:p w:rsidR="00FE7330" w:rsidRPr="00D3693E" w:rsidRDefault="004011B4" w:rsidP="00356F25">
            <w:pPr>
              <w:keepNext/>
              <w:widowControl w:val="0"/>
              <w:ind w:left="-89" w:right="-52"/>
              <w:jc w:val="center"/>
            </w:pPr>
            <w:r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  <w:r w:rsidRPr="00D3693E">
              <w:t>Тип покрытия мешков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Одностороннее </w:t>
            </w:r>
          </w:p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или </w:t>
            </w:r>
          </w:p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>двухстороннее</w:t>
            </w:r>
          </w:p>
        </w:tc>
        <w:tc>
          <w:tcPr>
            <w:tcW w:w="1891" w:type="dxa"/>
          </w:tcPr>
          <w:p w:rsidR="00FE7330" w:rsidRPr="00D3693E" w:rsidRDefault="004011B4" w:rsidP="00356F25">
            <w:pPr>
              <w:keepNext/>
              <w:widowControl w:val="0"/>
              <w:ind w:left="-37" w:right="-52"/>
              <w:jc w:val="center"/>
            </w:pPr>
            <w:r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  <w:r w:rsidRPr="00D3693E">
              <w:t>Фильтр</w:t>
            </w:r>
          </w:p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>Наличие</w:t>
            </w:r>
          </w:p>
        </w:tc>
        <w:tc>
          <w:tcPr>
            <w:tcW w:w="1891" w:type="dxa"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  <w:r w:rsidRPr="00D3693E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  <w:rPr>
                <w:i/>
                <w:color w:val="000000" w:themeColor="text1"/>
              </w:rPr>
            </w:pPr>
            <w:r w:rsidRPr="00D3693E">
              <w:rPr>
                <w:color w:val="000000" w:themeColor="text1"/>
              </w:rPr>
              <w:t xml:space="preserve">Максимальный диаметр вырезаемого отверстия для </w:t>
            </w:r>
            <w:proofErr w:type="spellStart"/>
            <w:r w:rsidRPr="00D3693E">
              <w:rPr>
                <w:color w:val="000000" w:themeColor="text1"/>
              </w:rPr>
              <w:t>стомы</w:t>
            </w:r>
            <w:proofErr w:type="spellEnd"/>
            <w:r w:rsidRPr="00D3693E">
              <w:rPr>
                <w:color w:val="000000" w:themeColor="text1"/>
              </w:rPr>
              <w:t>,</w:t>
            </w:r>
          </w:p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  <w:rPr>
                <w:color w:val="000000" w:themeColor="text1"/>
              </w:rPr>
            </w:pPr>
            <w:r w:rsidRPr="00D3693E">
              <w:rPr>
                <w:color w:val="000000" w:themeColor="text1"/>
              </w:rPr>
              <w:t>миллиметр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widowControl w:val="0"/>
              <w:ind w:left="-61" w:right="-72"/>
              <w:jc w:val="center"/>
              <w:rPr>
                <w:color w:val="000000" w:themeColor="text1"/>
              </w:rPr>
            </w:pPr>
            <w:r w:rsidRPr="00D3693E">
              <w:t>60-80 мм</w:t>
            </w:r>
          </w:p>
          <w:p w:rsidR="00FE7330" w:rsidRPr="00D3693E" w:rsidRDefault="00FE7330" w:rsidP="00356F25">
            <w:pPr>
              <w:widowControl w:val="0"/>
              <w:ind w:left="-61" w:right="-72"/>
              <w:jc w:val="center"/>
            </w:pPr>
          </w:p>
        </w:tc>
        <w:tc>
          <w:tcPr>
            <w:tcW w:w="1891" w:type="dxa"/>
          </w:tcPr>
          <w:p w:rsidR="00FE7330" w:rsidRPr="00D3693E" w:rsidRDefault="00FE7330" w:rsidP="00356F25">
            <w:pPr>
              <w:jc w:val="center"/>
            </w:pPr>
            <w:r w:rsidRPr="00D3693E">
              <w:t>Значение характеристики не может изменяться участником закупки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386" w:type="dxa"/>
            <w:vMerge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</w:pPr>
            <w:r w:rsidRPr="00D3693E">
              <w:rPr>
                <w:color w:val="000000" w:themeColor="text1"/>
              </w:rPr>
              <w:t xml:space="preserve">Диаметр предварительного отверстия для </w:t>
            </w:r>
            <w:proofErr w:type="spellStart"/>
            <w:r w:rsidRPr="00D3693E">
              <w:rPr>
                <w:color w:val="000000" w:themeColor="text1"/>
              </w:rPr>
              <w:t>стомы</w:t>
            </w:r>
            <w:proofErr w:type="spellEnd"/>
            <w:r w:rsidRPr="00D3693E">
              <w:rPr>
                <w:color w:val="000000" w:themeColor="text1"/>
              </w:rPr>
              <w:t>, миллиметр</w:t>
            </w: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  <w:r w:rsidRPr="00D3693E">
              <w:t xml:space="preserve">≤ </w:t>
            </w:r>
            <w:r w:rsidRPr="00D3693E">
              <w:rPr>
                <w:color w:val="000000" w:themeColor="text1"/>
              </w:rPr>
              <w:t xml:space="preserve">20 </w:t>
            </w:r>
          </w:p>
        </w:tc>
        <w:tc>
          <w:tcPr>
            <w:tcW w:w="1891" w:type="dxa"/>
          </w:tcPr>
          <w:p w:rsidR="00FE7330" w:rsidRPr="00D3693E" w:rsidRDefault="004011B4" w:rsidP="00356F25">
            <w:pPr>
              <w:jc w:val="center"/>
            </w:pPr>
            <w:r>
              <w:t>Участник закупки указывает в заявке конкретное значение характеристики</w:t>
            </w:r>
          </w:p>
        </w:tc>
        <w:tc>
          <w:tcPr>
            <w:tcW w:w="1373" w:type="dxa"/>
            <w:vMerge/>
          </w:tcPr>
          <w:p w:rsidR="00FE7330" w:rsidRPr="00D3693E" w:rsidRDefault="00FE7330" w:rsidP="00356F25">
            <w:pPr>
              <w:keepNext/>
              <w:widowControl w:val="0"/>
              <w:ind w:left="-37" w:right="-52"/>
              <w:jc w:val="center"/>
            </w:pPr>
          </w:p>
        </w:tc>
      </w:tr>
      <w:tr w:rsidR="00FE7330" w:rsidRPr="00D3693E" w:rsidTr="00D735FD">
        <w:trPr>
          <w:trHeight w:val="22"/>
          <w:jc w:val="center"/>
        </w:trPr>
        <w:tc>
          <w:tcPr>
            <w:tcW w:w="567" w:type="dxa"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1118" w:type="dxa"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  <w:r w:rsidRPr="00D3693E">
              <w:t>Итого:</w:t>
            </w:r>
          </w:p>
        </w:tc>
        <w:tc>
          <w:tcPr>
            <w:tcW w:w="1386" w:type="dxa"/>
          </w:tcPr>
          <w:p w:rsidR="00FE7330" w:rsidRPr="00D3693E" w:rsidRDefault="00FE7330" w:rsidP="00356F25">
            <w:pPr>
              <w:keepNext/>
              <w:widowControl w:val="0"/>
              <w:jc w:val="center"/>
            </w:pPr>
          </w:p>
        </w:tc>
        <w:tc>
          <w:tcPr>
            <w:tcW w:w="2032" w:type="dxa"/>
          </w:tcPr>
          <w:p w:rsidR="00FE7330" w:rsidRPr="00D3693E" w:rsidRDefault="00FE7330" w:rsidP="00356F25">
            <w:pPr>
              <w:keepNext/>
              <w:widowControl w:val="0"/>
              <w:ind w:left="-89" w:right="-68"/>
              <w:jc w:val="center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E7330" w:rsidRPr="00D3693E" w:rsidRDefault="00FE7330" w:rsidP="00356F25">
            <w:pPr>
              <w:keepNext/>
              <w:widowControl w:val="0"/>
              <w:ind w:left="-61" w:right="-72"/>
              <w:jc w:val="center"/>
            </w:pPr>
          </w:p>
        </w:tc>
        <w:tc>
          <w:tcPr>
            <w:tcW w:w="1891" w:type="dxa"/>
          </w:tcPr>
          <w:p w:rsidR="00FE7330" w:rsidRPr="00D3693E" w:rsidRDefault="00FE7330" w:rsidP="00356F25">
            <w:pPr>
              <w:jc w:val="center"/>
            </w:pPr>
          </w:p>
        </w:tc>
        <w:tc>
          <w:tcPr>
            <w:tcW w:w="1373" w:type="dxa"/>
          </w:tcPr>
          <w:p w:rsidR="00FE7330" w:rsidRPr="00D3693E" w:rsidRDefault="00231388" w:rsidP="00356F25">
            <w:pPr>
              <w:keepNext/>
              <w:widowControl w:val="0"/>
              <w:ind w:left="-37" w:right="-52"/>
              <w:jc w:val="center"/>
            </w:pPr>
            <w:r>
              <w:t>33 100</w:t>
            </w:r>
          </w:p>
        </w:tc>
      </w:tr>
    </w:tbl>
    <w:p w:rsidR="00FE7330" w:rsidRDefault="00FE7330" w:rsidP="00FE7330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0"/>
        <w:rPr>
          <w:rStyle w:val="FontStyle92"/>
          <w:sz w:val="20"/>
          <w:szCs w:val="20"/>
          <w:highlight w:val="yellow"/>
        </w:rPr>
      </w:pPr>
    </w:p>
    <w:p w:rsidR="00FE7330" w:rsidRDefault="00925EBE" w:rsidP="00FE733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bookmarkStart w:id="0" w:name="_GoBack"/>
      <w:bookmarkEnd w:id="0"/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 w:rsidR="005A50A9">
        <w:rPr>
          <w:b/>
          <w:i/>
          <w:color w:val="000000" w:themeColor="text1"/>
        </w:rPr>
        <w:t>приложении</w:t>
      </w:r>
      <w:r w:rsidR="00BE7257">
        <w:rPr>
          <w:b/>
          <w:i/>
          <w:color w:val="000000" w:themeColor="text1"/>
        </w:rPr>
        <w:t xml:space="preserve"> </w:t>
      </w:r>
      <w:r w:rsidR="005A50A9">
        <w:rPr>
          <w:b/>
          <w:i/>
          <w:color w:val="000000" w:themeColor="text1"/>
        </w:rPr>
        <w:t xml:space="preserve">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BE7257" w:rsidRPr="008A1B00" w:rsidRDefault="00BE7257" w:rsidP="00FE7330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</w:p>
    <w:p w:rsidR="00FE7330" w:rsidRPr="002B2B90" w:rsidRDefault="00FE7330" w:rsidP="00FE7330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FE7330" w:rsidRPr="002B2B90" w:rsidRDefault="00FE7330" w:rsidP="00FE7330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388" w:rsidRPr="00231388" w:rsidRDefault="00231388" w:rsidP="00231388">
      <w:pPr>
        <w:pStyle w:val="aa"/>
        <w:keepNext/>
        <w:widowControl w:val="0"/>
        <w:ind w:left="0" w:right="-117" w:firstLine="851"/>
        <w:jc w:val="center"/>
        <w:rPr>
          <w:b/>
        </w:rPr>
      </w:pPr>
      <w:r w:rsidRPr="00231388">
        <w:rPr>
          <w:b/>
        </w:rPr>
        <w:t>Условия и срок поставки Товара</w:t>
      </w:r>
    </w:p>
    <w:p w:rsidR="00231388" w:rsidRPr="00231388" w:rsidRDefault="00231388" w:rsidP="00231388">
      <w:pPr>
        <w:keepNext/>
        <w:widowControl w:val="0"/>
        <w:tabs>
          <w:tab w:val="left" w:pos="284"/>
        </w:tabs>
        <w:ind w:firstLine="851"/>
        <w:jc w:val="both"/>
      </w:pPr>
      <w:r w:rsidRPr="00231388">
        <w:t>Место доставки товара:</w:t>
      </w:r>
    </w:p>
    <w:p w:rsidR="00231388" w:rsidRPr="00231388" w:rsidRDefault="00231388" w:rsidP="00231388">
      <w:pPr>
        <w:pStyle w:val="a0"/>
        <w:keepNext/>
        <w:widowControl w:val="0"/>
        <w:tabs>
          <w:tab w:val="left" w:pos="0"/>
        </w:tabs>
        <w:ind w:firstLine="851"/>
        <w:jc w:val="both"/>
      </w:pPr>
      <w:r w:rsidRPr="00231388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231388" w:rsidRPr="00231388" w:rsidRDefault="00231388" w:rsidP="00231388">
      <w:pPr>
        <w:pStyle w:val="a0"/>
        <w:keepNext/>
        <w:widowControl w:val="0"/>
        <w:tabs>
          <w:tab w:val="left" w:pos="0"/>
        </w:tabs>
        <w:ind w:firstLine="851"/>
        <w:jc w:val="both"/>
      </w:pPr>
      <w:proofErr w:type="gramStart"/>
      <w:r w:rsidRPr="00231388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231388">
          <w:rPr>
            <w:rStyle w:val="a8"/>
          </w:rPr>
          <w:t>приказом</w:t>
        </w:r>
      </w:hyperlink>
      <w:r w:rsidRPr="00231388">
        <w:t xml:space="preserve"> Министерства труда и социальной </w:t>
      </w:r>
      <w:r w:rsidRPr="00231388">
        <w:lastRenderedPageBreak/>
        <w:t>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31388">
        <w:t xml:space="preserve"> им при этом необходимой помощи".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</w:pPr>
      <w:r w:rsidRPr="00231388">
        <w:t>Срок поставки товара в субъекты Российской Федерации: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 xml:space="preserve">1) 30% от общего объема товара: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 xml:space="preserve">- для Сибирского федерального округа - в течение 20 рабочих дней со дня вступления в силу государственного контракта;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>2) 30% от общего объема товара: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 xml:space="preserve">- для Сибирского федерального округа  - до 01.05.2024. 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>3) оставшийся объем товара: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>- для Сибирского федерального округа - до 01.07.2024.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231388">
        <w:rPr>
          <w:rFonts w:eastAsiaTheme="minorHAnsi"/>
          <w:lang w:eastAsia="en-US"/>
        </w:rPr>
        <w:t>с даты получения</w:t>
      </w:r>
      <w:proofErr w:type="gramEnd"/>
      <w:r w:rsidRPr="00231388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  <w:rPr>
          <w:rFonts w:eastAsiaTheme="minorHAnsi"/>
          <w:lang w:eastAsia="en-US"/>
        </w:rPr>
      </w:pPr>
      <w:r w:rsidRPr="00231388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contextualSpacing/>
        <w:jc w:val="both"/>
      </w:pP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center"/>
        <w:rPr>
          <w:b/>
        </w:rPr>
      </w:pPr>
      <w:r w:rsidRPr="00231388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388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388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388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388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2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388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231388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23138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31388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31388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31388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3138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388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2313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1388" w:rsidRPr="00231388" w:rsidRDefault="00231388" w:rsidP="00231388">
      <w:pPr>
        <w:pStyle w:val="ac"/>
        <w:keepNext/>
        <w:widowControl w:val="0"/>
        <w:ind w:right="-11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88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31388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proofErr w:type="gramStart"/>
      <w:r w:rsidRPr="00231388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 xml:space="preserve">Товар должен компенсировать имеющиеся у Получателя функциональные нарушения, </w:t>
      </w:r>
      <w:r w:rsidRPr="00231388">
        <w:lastRenderedPageBreak/>
        <w:t>степень ограничения жизнедеятельности, а также отвечать медицинским и социальным требованиям: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безопасность для кожных покровов;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эстетичность;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комфортность;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простота пользования.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 xml:space="preserve">Вся информация на упаковке должна быть представлена на русском языке.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Информация в обязательном порядке должна содержать: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наименование товара,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proofErr w:type="gramStart"/>
      <w:r w:rsidRPr="00231388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сведения об основных потребительских свойствах товара,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правила и условия эффективного и безопасного использования товара (инструкция по применению),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не допускается применение товара, если нарушена упаковка,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Хранение должно осуществляться в соответствии с требованиями, предъявляемыми к данной категории товара.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231388" w:rsidRPr="00231388" w:rsidRDefault="00231388" w:rsidP="00231388">
      <w:pPr>
        <w:pStyle w:val="aa"/>
        <w:keepNext/>
        <w:widowControl w:val="0"/>
        <w:tabs>
          <w:tab w:val="left" w:pos="426"/>
        </w:tabs>
        <w:ind w:left="0" w:right="-117" w:firstLine="851"/>
        <w:jc w:val="center"/>
        <w:rPr>
          <w:b/>
        </w:rPr>
      </w:pPr>
    </w:p>
    <w:p w:rsidR="00231388" w:rsidRPr="00231388" w:rsidRDefault="00231388" w:rsidP="00231388">
      <w:pPr>
        <w:pStyle w:val="aa"/>
        <w:keepNext/>
        <w:widowControl w:val="0"/>
        <w:tabs>
          <w:tab w:val="left" w:pos="426"/>
        </w:tabs>
        <w:ind w:left="0" w:right="-117" w:firstLine="851"/>
        <w:jc w:val="center"/>
        <w:rPr>
          <w:b/>
        </w:rPr>
      </w:pPr>
      <w:r w:rsidRPr="00231388">
        <w:rPr>
          <w:b/>
        </w:rPr>
        <w:t>Требования к сроку и (или) объёму предоставления гарантий качества Товара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 xml:space="preserve">Срок годности товара не менее 6 месяцев </w:t>
      </w:r>
      <w:proofErr w:type="gramStart"/>
      <w:r w:rsidRPr="00231388">
        <w:t>с даты передачи</w:t>
      </w:r>
      <w:proofErr w:type="gramEnd"/>
      <w:r w:rsidRPr="00231388">
        <w:t xml:space="preserve"> товара Получателю.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231388" w:rsidRPr="00231388" w:rsidRDefault="00231388" w:rsidP="00231388">
      <w:pPr>
        <w:keepNext/>
        <w:widowControl w:val="0"/>
        <w:suppressAutoHyphens w:val="0"/>
        <w:ind w:right="-117" w:firstLine="851"/>
        <w:jc w:val="both"/>
      </w:pPr>
      <w:r w:rsidRPr="00231388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E7330" w:rsidRDefault="00FE7330" w:rsidP="00231388">
      <w:pPr>
        <w:pStyle w:val="aa"/>
        <w:keepNext/>
        <w:widowControl w:val="0"/>
        <w:suppressAutoHyphens w:val="0"/>
        <w:ind w:left="0" w:right="-117" w:firstLine="709"/>
        <w:jc w:val="center"/>
        <w:rPr>
          <w:rStyle w:val="FontStyle92"/>
          <w:sz w:val="20"/>
          <w:szCs w:val="20"/>
          <w:highlight w:val="yellow"/>
        </w:rPr>
      </w:pPr>
    </w:p>
    <w:sectPr w:rsidR="00FE7330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5837D4"/>
    <w:multiLevelType w:val="hybridMultilevel"/>
    <w:tmpl w:val="1BD40A56"/>
    <w:lvl w:ilvl="0" w:tplc="993C278A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2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7"/>
  </w:num>
  <w:num w:numId="7">
    <w:abstractNumId w:val="12"/>
  </w:num>
  <w:num w:numId="8">
    <w:abstractNumId w:val="9"/>
  </w:num>
  <w:num w:numId="9">
    <w:abstractNumId w:val="22"/>
  </w:num>
  <w:num w:numId="10">
    <w:abstractNumId w:val="28"/>
  </w:num>
  <w:num w:numId="11">
    <w:abstractNumId w:val="2"/>
  </w:num>
  <w:num w:numId="12">
    <w:abstractNumId w:val="13"/>
  </w:num>
  <w:num w:numId="13">
    <w:abstractNumId w:val="23"/>
  </w:num>
  <w:num w:numId="14">
    <w:abstractNumId w:val="25"/>
  </w:num>
  <w:num w:numId="15">
    <w:abstractNumId w:val="14"/>
  </w:num>
  <w:num w:numId="16">
    <w:abstractNumId w:val="26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9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1475"/>
    <w:rsid w:val="000446AE"/>
    <w:rsid w:val="00045607"/>
    <w:rsid w:val="00045EFD"/>
    <w:rsid w:val="00060D0F"/>
    <w:rsid w:val="000619CC"/>
    <w:rsid w:val="00065348"/>
    <w:rsid w:val="00065385"/>
    <w:rsid w:val="0007458D"/>
    <w:rsid w:val="000C17DD"/>
    <w:rsid w:val="000E2CA6"/>
    <w:rsid w:val="000E36B7"/>
    <w:rsid w:val="000F1C97"/>
    <w:rsid w:val="001028CD"/>
    <w:rsid w:val="00106864"/>
    <w:rsid w:val="001133E1"/>
    <w:rsid w:val="001163A4"/>
    <w:rsid w:val="0012482F"/>
    <w:rsid w:val="001413C4"/>
    <w:rsid w:val="00161B29"/>
    <w:rsid w:val="00170795"/>
    <w:rsid w:val="00170C89"/>
    <w:rsid w:val="001716C4"/>
    <w:rsid w:val="00175E5D"/>
    <w:rsid w:val="00176C7B"/>
    <w:rsid w:val="0017769E"/>
    <w:rsid w:val="0019166B"/>
    <w:rsid w:val="001C416F"/>
    <w:rsid w:val="001D1742"/>
    <w:rsid w:val="001D3CBE"/>
    <w:rsid w:val="001E0C0F"/>
    <w:rsid w:val="001E77D2"/>
    <w:rsid w:val="001F04BA"/>
    <w:rsid w:val="001F7DA9"/>
    <w:rsid w:val="00204A36"/>
    <w:rsid w:val="00204CE2"/>
    <w:rsid w:val="00205F8F"/>
    <w:rsid w:val="00212CDE"/>
    <w:rsid w:val="00214066"/>
    <w:rsid w:val="002170A6"/>
    <w:rsid w:val="00217E3C"/>
    <w:rsid w:val="00231388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C0EC0"/>
    <w:rsid w:val="002C7C6B"/>
    <w:rsid w:val="002D67C2"/>
    <w:rsid w:val="002E15F3"/>
    <w:rsid w:val="002E4BA0"/>
    <w:rsid w:val="002E4F87"/>
    <w:rsid w:val="002F0306"/>
    <w:rsid w:val="002F2C1A"/>
    <w:rsid w:val="002F2CA9"/>
    <w:rsid w:val="002F4356"/>
    <w:rsid w:val="003033C5"/>
    <w:rsid w:val="00306B9E"/>
    <w:rsid w:val="00310649"/>
    <w:rsid w:val="00311FED"/>
    <w:rsid w:val="00314E96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4C46"/>
    <w:rsid w:val="003E6044"/>
    <w:rsid w:val="003F058C"/>
    <w:rsid w:val="003F0C06"/>
    <w:rsid w:val="004011B4"/>
    <w:rsid w:val="00402B16"/>
    <w:rsid w:val="004125B1"/>
    <w:rsid w:val="004131E6"/>
    <w:rsid w:val="00417DA4"/>
    <w:rsid w:val="00434A5F"/>
    <w:rsid w:val="004626AB"/>
    <w:rsid w:val="00466C0E"/>
    <w:rsid w:val="004736D2"/>
    <w:rsid w:val="00474E2C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523A"/>
    <w:rsid w:val="004C6C7F"/>
    <w:rsid w:val="004E04AE"/>
    <w:rsid w:val="004E2AB1"/>
    <w:rsid w:val="004E5D5D"/>
    <w:rsid w:val="0050514D"/>
    <w:rsid w:val="005056A5"/>
    <w:rsid w:val="0051097C"/>
    <w:rsid w:val="00510CA9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A14AE"/>
    <w:rsid w:val="005A2112"/>
    <w:rsid w:val="005A50A9"/>
    <w:rsid w:val="005B4BDB"/>
    <w:rsid w:val="005B685A"/>
    <w:rsid w:val="005B6C70"/>
    <w:rsid w:val="005C1B1D"/>
    <w:rsid w:val="005C3A21"/>
    <w:rsid w:val="005C5522"/>
    <w:rsid w:val="005D2D85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45448"/>
    <w:rsid w:val="00653F9C"/>
    <w:rsid w:val="00656334"/>
    <w:rsid w:val="00662ABA"/>
    <w:rsid w:val="0066527E"/>
    <w:rsid w:val="00666E64"/>
    <w:rsid w:val="00676896"/>
    <w:rsid w:val="006801BB"/>
    <w:rsid w:val="0068232A"/>
    <w:rsid w:val="00682DB9"/>
    <w:rsid w:val="0068433F"/>
    <w:rsid w:val="006873BB"/>
    <w:rsid w:val="00687C3C"/>
    <w:rsid w:val="00691F91"/>
    <w:rsid w:val="006A7175"/>
    <w:rsid w:val="006B265F"/>
    <w:rsid w:val="006B4091"/>
    <w:rsid w:val="006C4D69"/>
    <w:rsid w:val="006C5D67"/>
    <w:rsid w:val="006C7FE2"/>
    <w:rsid w:val="006D09A4"/>
    <w:rsid w:val="006D3FDE"/>
    <w:rsid w:val="006D6E13"/>
    <w:rsid w:val="006F571A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064F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1531E"/>
    <w:rsid w:val="00820D75"/>
    <w:rsid w:val="008304B0"/>
    <w:rsid w:val="00831359"/>
    <w:rsid w:val="0086101C"/>
    <w:rsid w:val="00863F07"/>
    <w:rsid w:val="00871617"/>
    <w:rsid w:val="00877C74"/>
    <w:rsid w:val="00881FCB"/>
    <w:rsid w:val="00887D38"/>
    <w:rsid w:val="008972EA"/>
    <w:rsid w:val="008A2D66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25EBE"/>
    <w:rsid w:val="009336EA"/>
    <w:rsid w:val="00934174"/>
    <w:rsid w:val="009345E1"/>
    <w:rsid w:val="009404EF"/>
    <w:rsid w:val="0095780D"/>
    <w:rsid w:val="00967409"/>
    <w:rsid w:val="00971A3D"/>
    <w:rsid w:val="0097360B"/>
    <w:rsid w:val="0097384C"/>
    <w:rsid w:val="00977BB2"/>
    <w:rsid w:val="009979F1"/>
    <w:rsid w:val="009A2086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0F4"/>
    <w:rsid w:val="00A145CF"/>
    <w:rsid w:val="00A16C4A"/>
    <w:rsid w:val="00A17CC6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2917"/>
    <w:rsid w:val="00B138A8"/>
    <w:rsid w:val="00B16ACC"/>
    <w:rsid w:val="00B2004C"/>
    <w:rsid w:val="00B2703B"/>
    <w:rsid w:val="00B308F6"/>
    <w:rsid w:val="00B32AB4"/>
    <w:rsid w:val="00B4730F"/>
    <w:rsid w:val="00B50888"/>
    <w:rsid w:val="00B638AF"/>
    <w:rsid w:val="00B64AAA"/>
    <w:rsid w:val="00B831BC"/>
    <w:rsid w:val="00B9375D"/>
    <w:rsid w:val="00B941BE"/>
    <w:rsid w:val="00B9780D"/>
    <w:rsid w:val="00BB4FB1"/>
    <w:rsid w:val="00BC0757"/>
    <w:rsid w:val="00BC23B0"/>
    <w:rsid w:val="00BC5A67"/>
    <w:rsid w:val="00BC5E4F"/>
    <w:rsid w:val="00BD1F35"/>
    <w:rsid w:val="00BD2B4C"/>
    <w:rsid w:val="00BD5E68"/>
    <w:rsid w:val="00BD758F"/>
    <w:rsid w:val="00BE138B"/>
    <w:rsid w:val="00BE7257"/>
    <w:rsid w:val="00BF01C4"/>
    <w:rsid w:val="00BF6EA3"/>
    <w:rsid w:val="00C01002"/>
    <w:rsid w:val="00C0241F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0633"/>
    <w:rsid w:val="00CF4F36"/>
    <w:rsid w:val="00D016B4"/>
    <w:rsid w:val="00D072EC"/>
    <w:rsid w:val="00D1147E"/>
    <w:rsid w:val="00D135B6"/>
    <w:rsid w:val="00D14916"/>
    <w:rsid w:val="00D15D65"/>
    <w:rsid w:val="00D22F6C"/>
    <w:rsid w:val="00D230D1"/>
    <w:rsid w:val="00D276E6"/>
    <w:rsid w:val="00D3693E"/>
    <w:rsid w:val="00D40020"/>
    <w:rsid w:val="00D40EE9"/>
    <w:rsid w:val="00D4467F"/>
    <w:rsid w:val="00D47C54"/>
    <w:rsid w:val="00D51012"/>
    <w:rsid w:val="00D53A91"/>
    <w:rsid w:val="00D54A93"/>
    <w:rsid w:val="00D72E2C"/>
    <w:rsid w:val="00D735FD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C47AE"/>
    <w:rsid w:val="00DD0605"/>
    <w:rsid w:val="00DD210D"/>
    <w:rsid w:val="00DD4BED"/>
    <w:rsid w:val="00DE04B5"/>
    <w:rsid w:val="00DE1D5A"/>
    <w:rsid w:val="00DF1068"/>
    <w:rsid w:val="00DF380F"/>
    <w:rsid w:val="00DF5FDC"/>
    <w:rsid w:val="00DF65FF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76A96"/>
    <w:rsid w:val="00E87CFB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47840"/>
    <w:rsid w:val="00F50E72"/>
    <w:rsid w:val="00F536AE"/>
    <w:rsid w:val="00F63F51"/>
    <w:rsid w:val="00F64FAE"/>
    <w:rsid w:val="00F650A2"/>
    <w:rsid w:val="00F671CA"/>
    <w:rsid w:val="00F714A6"/>
    <w:rsid w:val="00F715ED"/>
    <w:rsid w:val="00F71C63"/>
    <w:rsid w:val="00F8117A"/>
    <w:rsid w:val="00F83C9D"/>
    <w:rsid w:val="00FA1960"/>
    <w:rsid w:val="00FA2E94"/>
    <w:rsid w:val="00FA3BD5"/>
    <w:rsid w:val="00FB04B3"/>
    <w:rsid w:val="00FB15D3"/>
    <w:rsid w:val="00FB2FD7"/>
    <w:rsid w:val="00FB7DE1"/>
    <w:rsid w:val="00FC052E"/>
    <w:rsid w:val="00FC1583"/>
    <w:rsid w:val="00FC6A8D"/>
    <w:rsid w:val="00FC75A1"/>
    <w:rsid w:val="00FD3D1C"/>
    <w:rsid w:val="00FD5382"/>
    <w:rsid w:val="00FD6686"/>
    <w:rsid w:val="00FE72B3"/>
    <w:rsid w:val="00FE7330"/>
    <w:rsid w:val="00FE764F"/>
    <w:rsid w:val="00FF4FB3"/>
    <w:rsid w:val="00FF5299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DF1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80EF-91EF-4A32-83B9-A4299A2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106</cp:revision>
  <cp:lastPrinted>2024-01-27T08:28:00Z</cp:lastPrinted>
  <dcterms:created xsi:type="dcterms:W3CDTF">2023-08-24T13:52:00Z</dcterms:created>
  <dcterms:modified xsi:type="dcterms:W3CDTF">2024-02-02T07:22:00Z</dcterms:modified>
</cp:coreProperties>
</file>