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2" w:rsidRDefault="00FF7902" w:rsidP="00FF7902">
      <w:pPr>
        <w:jc w:val="both"/>
        <w:rPr>
          <w:b/>
        </w:rPr>
      </w:pPr>
    </w:p>
    <w:p w:rsidR="00C13BAF" w:rsidRDefault="00C13BAF" w:rsidP="009A4C9B">
      <w:pPr>
        <w:spacing w:after="160" w:line="259" w:lineRule="auto"/>
        <w:jc w:val="both"/>
        <w:rPr>
          <w:b/>
          <w:bCs/>
          <w:kern w:val="1"/>
        </w:rPr>
      </w:pPr>
      <w:r>
        <w:rPr>
          <w:b/>
          <w:bCs/>
          <w:kern w:val="2"/>
        </w:rPr>
        <w:t>Место выполнения работ:</w:t>
      </w:r>
      <w:r w:rsidRPr="00C13BAF">
        <w:t xml:space="preserve"> Осуществить снятие мерок, примерку и выдачу готовых Изделий в специализированных помещениях по месту нахождения Подрядчика.</w:t>
      </w:r>
    </w:p>
    <w:p w:rsidR="006F603A" w:rsidRPr="006F603A" w:rsidRDefault="009226AD" w:rsidP="009A4C9B">
      <w:pPr>
        <w:spacing w:after="160" w:line="259" w:lineRule="auto"/>
        <w:jc w:val="both"/>
        <w:rPr>
          <w:rFonts w:eastAsia="Andale Sans UI"/>
          <w:kern w:val="1"/>
          <w:lang w:eastAsia="ar-SA"/>
        </w:rPr>
      </w:pPr>
      <w:r w:rsidRPr="006F603A">
        <w:rPr>
          <w:b/>
          <w:bCs/>
          <w:kern w:val="1"/>
        </w:rPr>
        <w:t xml:space="preserve">Сроки </w:t>
      </w:r>
      <w:r w:rsidR="001C1494" w:rsidRPr="006F603A">
        <w:rPr>
          <w:b/>
          <w:bCs/>
          <w:kern w:val="1"/>
        </w:rPr>
        <w:t>выполнения работ</w:t>
      </w:r>
      <w:r w:rsidRPr="006F603A">
        <w:rPr>
          <w:b/>
          <w:bCs/>
          <w:kern w:val="1"/>
        </w:rPr>
        <w:t xml:space="preserve">: </w:t>
      </w:r>
      <w:r w:rsidR="00F20102" w:rsidRPr="00F20102">
        <w:t xml:space="preserve">Выдать готовое изделие, соответствующее техническому заданию контракта непосредственно Получателю на основании направления в не более 60 календарных дней с момента получения от Заказчика списков Получателей, Последняя выдача Изделий Получателям в рамках государственного контракта должна быть осуществлена не позднее 30 </w:t>
      </w:r>
      <w:r w:rsidR="0032596B">
        <w:rPr>
          <w:rFonts w:eastAsia="Andale Sans UI"/>
          <w:kern w:val="2"/>
          <w:lang w:eastAsia="ar-SA"/>
        </w:rPr>
        <w:t xml:space="preserve">ноября </w:t>
      </w:r>
      <w:r w:rsidR="00F20102" w:rsidRPr="00F20102">
        <w:t>2022.</w:t>
      </w:r>
    </w:p>
    <w:p w:rsidR="00D7115C" w:rsidRDefault="00D7115C" w:rsidP="009A4C9B">
      <w:pPr>
        <w:spacing w:after="160" w:line="259" w:lineRule="auto"/>
        <w:jc w:val="both"/>
      </w:pPr>
      <w:r w:rsidRPr="00DB3240">
        <w:rPr>
          <w:b/>
        </w:rPr>
        <w:t>Наименование, характеристики и количество поставляемых товаров</w:t>
      </w:r>
      <w:r w:rsidRPr="00DB3240">
        <w:t>, объем выполняемых работ, оказываемых услуг:</w:t>
      </w:r>
    </w:p>
    <w:tbl>
      <w:tblPr>
        <w:tblW w:w="5000" w:type="pct"/>
        <w:tblLook w:val="04A0" w:firstRow="1" w:lastRow="0" w:firstColumn="1" w:lastColumn="0" w:noHBand="0" w:noVBand="1"/>
      </w:tblPr>
      <w:tblGrid>
        <w:gridCol w:w="535"/>
        <w:gridCol w:w="2479"/>
        <w:gridCol w:w="4051"/>
        <w:gridCol w:w="1741"/>
        <w:gridCol w:w="732"/>
        <w:gridCol w:w="657"/>
      </w:tblGrid>
      <w:tr w:rsidR="00C937D4" w:rsidRPr="00C937D4" w:rsidTr="00A244B5">
        <w:trPr>
          <w:trHeight w:val="1398"/>
        </w:trPr>
        <w:tc>
          <w:tcPr>
            <w:tcW w:w="262"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w:t>
            </w:r>
          </w:p>
          <w:p w:rsidR="00C937D4" w:rsidRPr="00C937D4" w:rsidRDefault="00C937D4" w:rsidP="00C937D4">
            <w:pPr>
              <w:autoSpaceDE w:val="0"/>
              <w:autoSpaceDN w:val="0"/>
              <w:adjustRightInd w:val="0"/>
              <w:jc w:val="center"/>
              <w:rPr>
                <w:sz w:val="22"/>
                <w:szCs w:val="22"/>
              </w:rPr>
            </w:pPr>
            <w:r w:rsidRPr="00C937D4">
              <w:rPr>
                <w:sz w:val="22"/>
                <w:szCs w:val="22"/>
              </w:rPr>
              <w:t>п/п</w:t>
            </w:r>
          </w:p>
        </w:tc>
        <w:tc>
          <w:tcPr>
            <w:tcW w:w="1216" w:type="pct"/>
            <w:tcBorders>
              <w:top w:val="single" w:sz="4" w:space="0" w:color="000000"/>
              <w:left w:val="single" w:sz="4" w:space="0" w:color="000000"/>
              <w:bottom w:val="single" w:sz="4" w:space="0" w:color="000000"/>
              <w:right w:val="nil"/>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 xml:space="preserve">Наименование </w:t>
            </w:r>
          </w:p>
        </w:tc>
        <w:tc>
          <w:tcPr>
            <w:tcW w:w="1987" w:type="pct"/>
            <w:tcBorders>
              <w:top w:val="single" w:sz="4" w:space="0" w:color="000000"/>
              <w:left w:val="single" w:sz="4" w:space="0" w:color="000000"/>
              <w:bottom w:val="single" w:sz="4" w:space="0" w:color="auto"/>
              <w:right w:val="nil"/>
            </w:tcBorders>
            <w:vAlign w:val="center"/>
            <w:hideMark/>
          </w:tcPr>
          <w:p w:rsidR="00C937D4" w:rsidRPr="00355BFD" w:rsidRDefault="00C937D4" w:rsidP="00C937D4">
            <w:pPr>
              <w:contextualSpacing/>
              <w:jc w:val="center"/>
            </w:pPr>
            <w:r w:rsidRPr="00355BFD">
              <w:rPr>
                <w:sz w:val="20"/>
                <w:szCs w:val="20"/>
              </w:rPr>
              <w:t>Наименование показателя</w:t>
            </w:r>
            <w:r w:rsidRPr="00355BFD">
              <w:rPr>
                <w:vertAlign w:val="superscript"/>
              </w:rPr>
              <w:footnoteReference w:id="1"/>
            </w:r>
          </w:p>
          <w:p w:rsidR="00C937D4" w:rsidRPr="00355BFD" w:rsidRDefault="00C937D4" w:rsidP="00C937D4">
            <w:pPr>
              <w:contextualSpacing/>
              <w:jc w:val="center"/>
              <w:rPr>
                <w:color w:val="FF0000"/>
                <w:sz w:val="20"/>
                <w:szCs w:val="20"/>
              </w:rPr>
            </w:pPr>
            <w:r w:rsidRPr="00355BFD">
              <w:rPr>
                <w:color w:val="FF0000"/>
                <w:sz w:val="20"/>
                <w:szCs w:val="20"/>
              </w:rPr>
              <w:t>(неизменяемое)</w:t>
            </w:r>
          </w:p>
        </w:tc>
        <w:tc>
          <w:tcPr>
            <w:tcW w:w="854" w:type="pct"/>
            <w:tcBorders>
              <w:top w:val="single" w:sz="4" w:space="0" w:color="000000"/>
              <w:left w:val="single" w:sz="4" w:space="0" w:color="000000"/>
              <w:bottom w:val="single" w:sz="4" w:space="0" w:color="000000"/>
              <w:right w:val="nil"/>
            </w:tcBorders>
            <w:vAlign w:val="center"/>
            <w:hideMark/>
          </w:tcPr>
          <w:p w:rsidR="00C937D4" w:rsidRPr="00355BFD" w:rsidRDefault="00C937D4" w:rsidP="00C937D4">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2"/>
            </w:r>
          </w:p>
          <w:p w:rsidR="00C937D4" w:rsidRPr="00355BFD" w:rsidRDefault="00C937D4" w:rsidP="00C937D4">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59" w:type="pct"/>
            <w:tcBorders>
              <w:top w:val="single" w:sz="4" w:space="0" w:color="auto"/>
              <w:left w:val="single" w:sz="4" w:space="0" w:color="auto"/>
              <w:bottom w:val="single" w:sz="4" w:space="0" w:color="auto"/>
              <w:right w:val="single" w:sz="4" w:space="0" w:color="auto"/>
            </w:tcBorders>
            <w:vAlign w:val="center"/>
          </w:tcPr>
          <w:p w:rsidR="00C937D4" w:rsidRPr="00C937D4" w:rsidRDefault="00C937D4" w:rsidP="00C937D4">
            <w:pPr>
              <w:autoSpaceDE w:val="0"/>
              <w:autoSpaceDN w:val="0"/>
              <w:adjustRightInd w:val="0"/>
              <w:jc w:val="center"/>
              <w:rPr>
                <w:sz w:val="22"/>
                <w:szCs w:val="22"/>
              </w:rPr>
            </w:pPr>
            <w:r w:rsidRPr="00C937D4">
              <w:rPr>
                <w:sz w:val="22"/>
                <w:szCs w:val="22"/>
              </w:rPr>
              <w:t>Ед. изм.</w:t>
            </w:r>
          </w:p>
        </w:tc>
        <w:tc>
          <w:tcPr>
            <w:tcW w:w="322" w:type="pct"/>
            <w:tcBorders>
              <w:top w:val="single" w:sz="4" w:space="0" w:color="auto"/>
              <w:left w:val="single" w:sz="4" w:space="0" w:color="auto"/>
              <w:bottom w:val="single" w:sz="4" w:space="0" w:color="auto"/>
              <w:right w:val="single" w:sz="4" w:space="0" w:color="auto"/>
            </w:tcBorders>
            <w:vAlign w:val="center"/>
            <w:hideMark/>
          </w:tcPr>
          <w:p w:rsidR="00C937D4" w:rsidRPr="00C937D4" w:rsidRDefault="00C937D4" w:rsidP="00C937D4">
            <w:pPr>
              <w:autoSpaceDE w:val="0"/>
              <w:autoSpaceDN w:val="0"/>
              <w:adjustRightInd w:val="0"/>
              <w:jc w:val="center"/>
              <w:rPr>
                <w:sz w:val="22"/>
                <w:szCs w:val="22"/>
              </w:rPr>
            </w:pPr>
            <w:r w:rsidRPr="00C937D4">
              <w:rPr>
                <w:sz w:val="22"/>
                <w:szCs w:val="22"/>
              </w:rPr>
              <w:t>Кол-во</w:t>
            </w:r>
          </w:p>
        </w:tc>
      </w:tr>
      <w:tr w:rsidR="00A244B5" w:rsidRPr="00A244B5" w:rsidTr="00A244B5">
        <w:trPr>
          <w:trHeight w:val="257"/>
        </w:trPr>
        <w:tc>
          <w:tcPr>
            <w:tcW w:w="262" w:type="pct"/>
            <w:tcBorders>
              <w:top w:val="single" w:sz="4" w:space="0" w:color="000000"/>
              <w:left w:val="single" w:sz="4" w:space="0" w:color="000000"/>
              <w:bottom w:val="single" w:sz="4" w:space="0" w:color="000000"/>
              <w:right w:val="nil"/>
            </w:tcBorders>
            <w:hideMark/>
          </w:tcPr>
          <w:p w:rsidR="00A244B5" w:rsidRPr="00A244B5" w:rsidRDefault="00A244B5" w:rsidP="00A244B5">
            <w:pPr>
              <w:autoSpaceDE w:val="0"/>
              <w:autoSpaceDN w:val="0"/>
              <w:adjustRightInd w:val="0"/>
              <w:jc w:val="center"/>
            </w:pPr>
            <w:r w:rsidRPr="00A244B5">
              <w:t>1.</w:t>
            </w:r>
          </w:p>
        </w:tc>
        <w:tc>
          <w:tcPr>
            <w:tcW w:w="1216" w:type="pct"/>
            <w:tcBorders>
              <w:top w:val="single" w:sz="4" w:space="0" w:color="000000"/>
              <w:left w:val="single" w:sz="4" w:space="0" w:color="000000"/>
              <w:bottom w:val="single" w:sz="4" w:space="0" w:color="000000"/>
              <w:right w:val="single" w:sz="4" w:space="0" w:color="auto"/>
            </w:tcBorders>
          </w:tcPr>
          <w:p w:rsidR="00A244B5" w:rsidRPr="00A244B5" w:rsidRDefault="00A244B5" w:rsidP="00A244B5">
            <w:r w:rsidRPr="00A244B5">
              <w:t>Протез кисти с микропроцессорным управлением</w:t>
            </w:r>
          </w:p>
        </w:tc>
        <w:tc>
          <w:tcPr>
            <w:tcW w:w="1987" w:type="pct"/>
            <w:tcBorders>
              <w:top w:val="single" w:sz="4" w:space="0" w:color="auto"/>
              <w:left w:val="single" w:sz="4" w:space="0" w:color="auto"/>
              <w:bottom w:val="single" w:sz="4" w:space="0" w:color="auto"/>
              <w:right w:val="single" w:sz="4" w:space="0" w:color="auto"/>
            </w:tcBorders>
          </w:tcPr>
          <w:p w:rsidR="00A244B5" w:rsidRPr="00A244B5" w:rsidRDefault="00A244B5" w:rsidP="00A244B5">
            <w:pPr>
              <w:jc w:val="both"/>
            </w:pPr>
            <w:r w:rsidRPr="00A244B5">
              <w:t xml:space="preserve">Протез состоит из кисти с модулями пальцев и предплечья с электроникой. Кисть состоит: из внутренней гильзы, в которую опционально устанавливаются электроды, </w:t>
            </w:r>
            <w:bookmarkStart w:id="0" w:name="_GoBack"/>
            <w:bookmarkEnd w:id="0"/>
            <w:r w:rsidRPr="00A244B5">
              <w:t xml:space="preserve">внешней гильзы, модулей пальцев, состоящих из </w:t>
            </w:r>
            <w:proofErr w:type="spellStart"/>
            <w:r w:rsidRPr="00A244B5">
              <w:t>моторредуктора</w:t>
            </w:r>
            <w:proofErr w:type="spellEnd"/>
            <w:r w:rsidRPr="00A244B5">
              <w:t xml:space="preserve"> и кинематического механизма, размещенных в корпусе пальца. Предплечье состоит: из внутренней гильзы, в которую опционально устанавливаются электроды, системы питания, АКБ, плата управления питанием, модуль зарядки и включения, внешней гильзы и системы управления. </w:t>
            </w:r>
          </w:p>
          <w:p w:rsidR="00A244B5" w:rsidRPr="00A244B5" w:rsidRDefault="00A244B5" w:rsidP="00A244B5">
            <w:pPr>
              <w:jc w:val="both"/>
            </w:pPr>
            <w:r w:rsidRPr="00A244B5">
              <w:t xml:space="preserve">Привод модуля пальца электромеханический. Возможность настройки не менее 8 жестов. Без косметической оболочки. Ладонь и пальцы оснащены противоскользящим силиконовыми накладками. Управлением протезом происходит за счёт регистрации на поверхности кожи предплечья </w:t>
            </w:r>
            <w:proofErr w:type="spellStart"/>
            <w:r w:rsidRPr="00A244B5">
              <w:t>электромиографического</w:t>
            </w:r>
            <w:proofErr w:type="spellEnd"/>
            <w:r w:rsidRPr="00A244B5">
              <w:t xml:space="preserve"> сигнала посредством </w:t>
            </w:r>
            <w:proofErr w:type="spellStart"/>
            <w:r w:rsidRPr="00A244B5">
              <w:t>миодатчиков</w:t>
            </w:r>
            <w:proofErr w:type="spellEnd"/>
            <w:r w:rsidRPr="00A244B5">
              <w:t xml:space="preserve">, расположенных во внутренней гильзе. Управление скоростью и силой </w:t>
            </w:r>
            <w:proofErr w:type="spellStart"/>
            <w:r w:rsidRPr="00A244B5">
              <w:t>схвата</w:t>
            </w:r>
            <w:proofErr w:type="spellEnd"/>
            <w:r w:rsidRPr="00A244B5">
              <w:t xml:space="preserve"> может осуществляться пропорционально силе напряжения мышц культи, что позволяет брать хрупкие предметы. Управление протезом – одно/двухканальное. Источник энергии – несъёмный литий-ионный аккумулятор с защитой от перезаряда. Приемная </w:t>
            </w:r>
            <w:r w:rsidRPr="00A244B5">
              <w:lastRenderedPageBreak/>
              <w:t xml:space="preserve">гильза из мягких смол или силикона. Крепление протеза на культе за счёт ее костной части и объёма мягких тканей.     </w:t>
            </w:r>
          </w:p>
          <w:p w:rsidR="00A244B5" w:rsidRPr="00A244B5" w:rsidRDefault="00A244B5" w:rsidP="00A244B5">
            <w:pPr>
              <w:jc w:val="both"/>
            </w:pPr>
            <w:r w:rsidRPr="00A244B5">
              <w:t>Гарантийный срок эксплуатации должен составлять не менее 24 месяцев, включая защиту от любых случайных повреждений.</w:t>
            </w:r>
          </w:p>
        </w:tc>
        <w:tc>
          <w:tcPr>
            <w:tcW w:w="854" w:type="pct"/>
            <w:tcBorders>
              <w:top w:val="single" w:sz="4" w:space="0" w:color="000000"/>
              <w:left w:val="single" w:sz="4" w:space="0" w:color="auto"/>
              <w:bottom w:val="single" w:sz="4" w:space="0" w:color="000000"/>
              <w:right w:val="nil"/>
            </w:tcBorders>
          </w:tcPr>
          <w:p w:rsidR="00A244B5" w:rsidRPr="00A244B5" w:rsidRDefault="00A244B5" w:rsidP="00A244B5">
            <w:pPr>
              <w:autoSpaceDE w:val="0"/>
              <w:autoSpaceDN w:val="0"/>
              <w:adjustRightInd w:val="0"/>
              <w:jc w:val="center"/>
            </w:pPr>
            <w:r w:rsidRPr="00A244B5">
              <w:lastRenderedPageBreak/>
              <w:t>Соответствует</w:t>
            </w:r>
          </w:p>
        </w:tc>
        <w:tc>
          <w:tcPr>
            <w:tcW w:w="359" w:type="pct"/>
            <w:tcBorders>
              <w:top w:val="single" w:sz="4" w:space="0" w:color="auto"/>
              <w:left w:val="single" w:sz="4" w:space="0" w:color="000000"/>
              <w:bottom w:val="single" w:sz="4" w:space="0" w:color="auto"/>
              <w:right w:val="single" w:sz="4" w:space="0" w:color="auto"/>
            </w:tcBorders>
          </w:tcPr>
          <w:p w:rsidR="00A244B5" w:rsidRPr="00A244B5" w:rsidRDefault="00A244B5" w:rsidP="00A244B5">
            <w:pPr>
              <w:jc w:val="center"/>
            </w:pPr>
            <w:r w:rsidRPr="00A244B5">
              <w:t>шт.</w:t>
            </w:r>
          </w:p>
        </w:tc>
        <w:tc>
          <w:tcPr>
            <w:tcW w:w="322" w:type="pct"/>
            <w:tcBorders>
              <w:top w:val="single" w:sz="4" w:space="0" w:color="auto"/>
              <w:left w:val="single" w:sz="4" w:space="0" w:color="auto"/>
              <w:bottom w:val="single" w:sz="4" w:space="0" w:color="auto"/>
              <w:right w:val="single" w:sz="4" w:space="0" w:color="auto"/>
            </w:tcBorders>
          </w:tcPr>
          <w:p w:rsidR="00A244B5" w:rsidRPr="00A244B5" w:rsidRDefault="00A244B5" w:rsidP="00A244B5">
            <w:pPr>
              <w:autoSpaceDE w:val="0"/>
              <w:autoSpaceDN w:val="0"/>
              <w:adjustRightInd w:val="0"/>
              <w:jc w:val="center"/>
            </w:pPr>
            <w:r w:rsidRPr="00A244B5">
              <w:t>2</w:t>
            </w:r>
          </w:p>
        </w:tc>
      </w:tr>
    </w:tbl>
    <w:p w:rsidR="00C937D4" w:rsidRDefault="00C937D4" w:rsidP="009A4C9B">
      <w:pPr>
        <w:spacing w:after="160" w:line="259" w:lineRule="auto"/>
        <w:jc w:val="both"/>
      </w:pPr>
    </w:p>
    <w:p w:rsidR="00A244B5" w:rsidRDefault="00A244B5" w:rsidP="00A244B5">
      <w:pPr>
        <w:autoSpaceDE w:val="0"/>
        <w:autoSpaceDN w:val="0"/>
        <w:adjustRightInd w:val="0"/>
        <w:ind w:firstLine="708"/>
        <w:jc w:val="both"/>
      </w:pPr>
      <w:r w:rsidRPr="00EB3E6F">
        <w:t>Соответс</w:t>
      </w:r>
      <w:r>
        <w:t>твие ГОСТа: ГОСТ ISO 10993-1-202</w:t>
      </w:r>
      <w:r w:rsidRPr="00EB3E6F">
        <w:t xml:space="preserve">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EB3E6F">
        <w:t>цитотоксичность</w:t>
      </w:r>
      <w:proofErr w:type="spellEnd"/>
      <w:r w:rsidRPr="00EB3E6F">
        <w:t xml:space="preserve">: методы </w:t>
      </w:r>
      <w:proofErr w:type="spellStart"/>
      <w:r w:rsidRPr="00EB3E6F">
        <w:t>in</w:t>
      </w:r>
      <w:proofErr w:type="spellEnd"/>
      <w:r w:rsidRPr="00EB3E6F">
        <w:t xml:space="preserve"> </w:t>
      </w:r>
      <w:proofErr w:type="spellStart"/>
      <w:r w:rsidRPr="00EB3E6F">
        <w:t>vitro</w:t>
      </w:r>
      <w:proofErr w:type="spellEnd"/>
      <w:r w:rsidRPr="00EB3E6F">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EB3E6F">
        <w:t>ортезы</w:t>
      </w:r>
      <w:proofErr w:type="spellEnd"/>
      <w:r w:rsidRPr="00EB3E6F">
        <w:t xml:space="preserve"> наружные требования и методы испытаний»</w:t>
      </w:r>
    </w:p>
    <w:p w:rsidR="00126DEB" w:rsidRDefault="00126DEB" w:rsidP="00C937D4">
      <w:pPr>
        <w:widowControl w:val="0"/>
        <w:autoSpaceDE w:val="0"/>
        <w:ind w:firstLine="709"/>
        <w:jc w:val="both"/>
      </w:pPr>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F7" w:rsidRDefault="00181CF7" w:rsidP="00D7115C">
      <w:r>
        <w:separator/>
      </w:r>
    </w:p>
  </w:endnote>
  <w:endnote w:type="continuationSeparator" w:id="0">
    <w:p w:rsidR="00181CF7" w:rsidRDefault="00181CF7"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F7" w:rsidRDefault="00181CF7" w:rsidP="00D7115C">
      <w:r>
        <w:separator/>
      </w:r>
    </w:p>
  </w:footnote>
  <w:footnote w:type="continuationSeparator" w:id="0">
    <w:p w:rsidR="00181CF7" w:rsidRDefault="00181CF7" w:rsidP="00D7115C">
      <w:r>
        <w:continuationSeparator/>
      </w:r>
    </w:p>
  </w:footnote>
  <w:footnote w:id="1">
    <w:p w:rsidR="00C937D4" w:rsidRDefault="00C937D4"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2">
    <w:p w:rsidR="00C937D4" w:rsidRPr="00985908" w:rsidRDefault="00C937D4"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844E3"/>
    <w:multiLevelType w:val="hybridMultilevel"/>
    <w:tmpl w:val="17022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6">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8"/>
  </w:num>
  <w:num w:numId="4">
    <w:abstractNumId w:val="12"/>
  </w:num>
  <w:num w:numId="5">
    <w:abstractNumId w:val="27"/>
  </w:num>
  <w:num w:numId="6">
    <w:abstractNumId w:val="26"/>
  </w:num>
  <w:num w:numId="7">
    <w:abstractNumId w:val="21"/>
  </w:num>
  <w:num w:numId="8">
    <w:abstractNumId w:val="13"/>
  </w:num>
  <w:num w:numId="9">
    <w:abstractNumId w:val="10"/>
  </w:num>
  <w:num w:numId="10">
    <w:abstractNumId w:val="7"/>
  </w:num>
  <w:num w:numId="11">
    <w:abstractNumId w:val="24"/>
  </w:num>
  <w:num w:numId="12">
    <w:abstractNumId w:val="8"/>
  </w:num>
  <w:num w:numId="13">
    <w:abstractNumId w:val="28"/>
  </w:num>
  <w:num w:numId="14">
    <w:abstractNumId w:val="29"/>
  </w:num>
  <w:num w:numId="15">
    <w:abstractNumId w:val="19"/>
  </w:num>
  <w:num w:numId="16">
    <w:abstractNumId w:val="14"/>
  </w:num>
  <w:num w:numId="17">
    <w:abstractNumId w:val="9"/>
  </w:num>
  <w:num w:numId="18">
    <w:abstractNumId w:val="4"/>
  </w:num>
  <w:num w:numId="19">
    <w:abstractNumId w:val="15"/>
  </w:num>
  <w:num w:numId="20">
    <w:abstractNumId w:val="5"/>
  </w:num>
  <w:num w:numId="21">
    <w:abstractNumId w:val="0"/>
  </w:num>
  <w:num w:numId="22">
    <w:abstractNumId w:val="25"/>
  </w:num>
  <w:num w:numId="23">
    <w:abstractNumId w:val="17"/>
  </w:num>
  <w:num w:numId="24">
    <w:abstractNumId w:val="22"/>
  </w:num>
  <w:num w:numId="25">
    <w:abstractNumId w:val="23"/>
  </w:num>
  <w:num w:numId="26">
    <w:abstractNumId w:val="11"/>
  </w:num>
  <w:num w:numId="27">
    <w:abstractNumId w:val="16"/>
  </w:num>
  <w:num w:numId="28">
    <w:abstractNumId w:val="20"/>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739C0"/>
    <w:rsid w:val="000A357E"/>
    <w:rsid w:val="000A37D4"/>
    <w:rsid w:val="000D3DE0"/>
    <w:rsid w:val="00126DEB"/>
    <w:rsid w:val="001370D2"/>
    <w:rsid w:val="00181CF7"/>
    <w:rsid w:val="00195EEB"/>
    <w:rsid w:val="001A1B23"/>
    <w:rsid w:val="001C1494"/>
    <w:rsid w:val="00251D72"/>
    <w:rsid w:val="00292377"/>
    <w:rsid w:val="00310864"/>
    <w:rsid w:val="003210F2"/>
    <w:rsid w:val="0032596B"/>
    <w:rsid w:val="003322AA"/>
    <w:rsid w:val="00333A18"/>
    <w:rsid w:val="003C0632"/>
    <w:rsid w:val="003D486E"/>
    <w:rsid w:val="003E36EE"/>
    <w:rsid w:val="00427C62"/>
    <w:rsid w:val="00457089"/>
    <w:rsid w:val="004667AA"/>
    <w:rsid w:val="004B058A"/>
    <w:rsid w:val="004C04C5"/>
    <w:rsid w:val="004C1D05"/>
    <w:rsid w:val="004D497F"/>
    <w:rsid w:val="004F2140"/>
    <w:rsid w:val="0054353B"/>
    <w:rsid w:val="00585EDA"/>
    <w:rsid w:val="005935A0"/>
    <w:rsid w:val="005D4418"/>
    <w:rsid w:val="005F2386"/>
    <w:rsid w:val="0064079A"/>
    <w:rsid w:val="006748AA"/>
    <w:rsid w:val="006F603A"/>
    <w:rsid w:val="007214BD"/>
    <w:rsid w:val="007670F9"/>
    <w:rsid w:val="007A0C01"/>
    <w:rsid w:val="007C105E"/>
    <w:rsid w:val="007F2A0B"/>
    <w:rsid w:val="00812F5F"/>
    <w:rsid w:val="00842A50"/>
    <w:rsid w:val="00852E8C"/>
    <w:rsid w:val="00896D3D"/>
    <w:rsid w:val="008A00DE"/>
    <w:rsid w:val="008A35F0"/>
    <w:rsid w:val="008D1CE7"/>
    <w:rsid w:val="009226AD"/>
    <w:rsid w:val="009277FE"/>
    <w:rsid w:val="009A4C9B"/>
    <w:rsid w:val="009C26AF"/>
    <w:rsid w:val="00A10A2B"/>
    <w:rsid w:val="00A244B5"/>
    <w:rsid w:val="00A520C7"/>
    <w:rsid w:val="00A54B05"/>
    <w:rsid w:val="00A978CB"/>
    <w:rsid w:val="00AC04AF"/>
    <w:rsid w:val="00AD58F0"/>
    <w:rsid w:val="00B201AE"/>
    <w:rsid w:val="00B45B9E"/>
    <w:rsid w:val="00B63052"/>
    <w:rsid w:val="00BB7977"/>
    <w:rsid w:val="00BD0B4D"/>
    <w:rsid w:val="00BE167F"/>
    <w:rsid w:val="00C13BAF"/>
    <w:rsid w:val="00C1613C"/>
    <w:rsid w:val="00C937D4"/>
    <w:rsid w:val="00CA3011"/>
    <w:rsid w:val="00CA4582"/>
    <w:rsid w:val="00CB0C96"/>
    <w:rsid w:val="00CB473D"/>
    <w:rsid w:val="00CC1AB3"/>
    <w:rsid w:val="00CE28E3"/>
    <w:rsid w:val="00CF1971"/>
    <w:rsid w:val="00D01082"/>
    <w:rsid w:val="00D20ED9"/>
    <w:rsid w:val="00D7115C"/>
    <w:rsid w:val="00D8164D"/>
    <w:rsid w:val="00D865A8"/>
    <w:rsid w:val="00DB3240"/>
    <w:rsid w:val="00DC4D5C"/>
    <w:rsid w:val="00E35808"/>
    <w:rsid w:val="00E46D81"/>
    <w:rsid w:val="00ED4626"/>
    <w:rsid w:val="00F20102"/>
    <w:rsid w:val="00F34F37"/>
    <w:rsid w:val="00FA700E"/>
    <w:rsid w:val="00FD6887"/>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55</cp:revision>
  <dcterms:created xsi:type="dcterms:W3CDTF">2020-08-12T05:43:00Z</dcterms:created>
  <dcterms:modified xsi:type="dcterms:W3CDTF">2022-05-20T03:59:00Z</dcterms:modified>
</cp:coreProperties>
</file>