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EE" w:rsidRDefault="004C77EE" w:rsidP="004C77EE">
      <w:pPr>
        <w:pStyle w:val="a3"/>
        <w:shd w:val="clear" w:color="auto" w:fill="FFFFFF"/>
        <w:spacing w:after="0"/>
        <w:ind w:right="-301"/>
        <w:jc w:val="center"/>
      </w:pPr>
      <w:r>
        <w:rPr>
          <w:b/>
          <w:bCs/>
          <w:i/>
          <w:iCs/>
          <w:u w:val="single"/>
        </w:rPr>
        <w:t>ОПИСАНИЕ ОБЪЕКТА ЗАКУПКИ</w:t>
      </w:r>
    </w:p>
    <w:p w:rsidR="004C77EE" w:rsidRDefault="004C77EE" w:rsidP="004C77EE">
      <w:pPr>
        <w:pStyle w:val="a3"/>
        <w:shd w:val="clear" w:color="auto" w:fill="FFFFFF"/>
        <w:spacing w:before="0" w:beforeAutospacing="0" w:after="0"/>
        <w:ind w:right="-301"/>
        <w:jc w:val="center"/>
      </w:pPr>
      <w:r>
        <w:t>О</w:t>
      </w:r>
      <w:r w:rsidRPr="00782F08">
        <w:t xml:space="preserve">казание услуг по охране и обеспечению пропускного и </w:t>
      </w:r>
      <w:proofErr w:type="spellStart"/>
      <w:r w:rsidRPr="00782F08">
        <w:t>внутриобъектового</w:t>
      </w:r>
      <w:proofErr w:type="spellEnd"/>
      <w:r w:rsidRPr="00782F08">
        <w:t xml:space="preserve"> режимов </w:t>
      </w:r>
      <w:r>
        <w:t>административного здания Государственного учреждения - Астраханского</w:t>
      </w:r>
      <w:r w:rsidRPr="00782F08">
        <w:t xml:space="preserve"> р</w:t>
      </w:r>
      <w:r>
        <w:t>егионального отделения</w:t>
      </w:r>
      <w:r w:rsidRPr="00782F08">
        <w:t xml:space="preserve"> Фонда социального страхования Российской Федерации по адресу: г. Астрахань, ул. Академика Королёва, д.46</w:t>
      </w:r>
    </w:p>
    <w:p w:rsidR="004C77EE" w:rsidRDefault="004C77EE" w:rsidP="004C77EE">
      <w:pPr>
        <w:pStyle w:val="a3"/>
        <w:shd w:val="clear" w:color="auto" w:fill="FFFFFF"/>
        <w:spacing w:before="0" w:beforeAutospacing="0" w:after="0"/>
        <w:ind w:right="-301"/>
        <w:jc w:val="center"/>
      </w:pPr>
    </w:p>
    <w:p w:rsidR="004C77EE" w:rsidRPr="00150919" w:rsidRDefault="004C77EE" w:rsidP="004C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 охраны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817"/>
        <w:gridCol w:w="1110"/>
        <w:gridCol w:w="999"/>
        <w:gridCol w:w="1191"/>
        <w:gridCol w:w="822"/>
        <w:gridCol w:w="739"/>
        <w:gridCol w:w="822"/>
        <w:gridCol w:w="739"/>
        <w:gridCol w:w="822"/>
        <w:gridCol w:w="739"/>
      </w:tblGrid>
      <w:tr w:rsidR="004C77EE" w:rsidRPr="00150919" w:rsidTr="004C77EE">
        <w:trPr>
          <w:trHeight w:val="278"/>
        </w:trPr>
        <w:tc>
          <w:tcPr>
            <w:tcW w:w="0" w:type="auto"/>
            <w:vMerge w:val="restart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Вид охраны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Режим охраны</w:t>
            </w:r>
          </w:p>
        </w:tc>
        <w:tc>
          <w:tcPr>
            <w:tcW w:w="0" w:type="auto"/>
            <w:vMerge w:val="restart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Количество постов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Время охраны</w:t>
            </w:r>
          </w:p>
        </w:tc>
      </w:tr>
      <w:tr w:rsidR="004C77EE" w:rsidRPr="00150919" w:rsidTr="004C77EE">
        <w:trPr>
          <w:trHeight w:val="135"/>
        </w:trPr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Обычные дни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Укороченные дни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Выходные, праздничные дни</w:t>
            </w:r>
          </w:p>
        </w:tc>
      </w:tr>
      <w:tr w:rsidR="004C77EE" w:rsidRPr="00150919" w:rsidTr="004C77EE">
        <w:trPr>
          <w:trHeight w:val="135"/>
        </w:trPr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</w:tr>
      <w:tr w:rsidR="004C77EE" w:rsidRPr="00150919" w:rsidTr="004C77EE">
        <w:trPr>
          <w:trHeight w:val="276"/>
        </w:trPr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здание:</w:t>
            </w:r>
          </w:p>
          <w:p w:rsidR="004C77EE" w:rsidRPr="00150919" w:rsidRDefault="004C77EE" w:rsidP="00A4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г. Астрахань, </w:t>
            </w:r>
          </w:p>
          <w:p w:rsidR="004C77EE" w:rsidRPr="00150919" w:rsidRDefault="004C77EE" w:rsidP="00A4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ул. Академика Королева, д.46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0" w:type="auto"/>
            <w:shd w:val="clear" w:color="auto" w:fill="auto"/>
          </w:tcPr>
          <w:p w:rsidR="004C77EE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Круглосу</w:t>
            </w:r>
            <w:proofErr w:type="spellEnd"/>
          </w:p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</w:p>
        </w:tc>
        <w:tc>
          <w:tcPr>
            <w:tcW w:w="0" w:type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08-00 мин.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08-00 мин.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08-00 мин.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08-00 мин.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08-00 мин.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08- 00 мин. </w:t>
            </w:r>
          </w:p>
        </w:tc>
      </w:tr>
    </w:tbl>
    <w:p w:rsidR="004C77EE" w:rsidRPr="00150919" w:rsidRDefault="004C77EE" w:rsidP="004C77E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7EE" w:rsidRPr="00150919" w:rsidRDefault="004C77EE" w:rsidP="004C77EE">
      <w:pPr>
        <w:spacing w:after="6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Услуги систем обеспечения безопасности, пультовая охрана </w:t>
      </w:r>
      <w:r w:rsidRPr="00150919">
        <w:rPr>
          <w:rFonts w:ascii="Times New Roman" w:eastAsia="Times New Roman" w:hAnsi="Times New Roman" w:cs="Times New Roman"/>
          <w:b/>
          <w:lang w:eastAsia="ru-RU"/>
        </w:rPr>
        <w:t>(КТС)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85"/>
        <w:gridCol w:w="2322"/>
        <w:gridCol w:w="932"/>
        <w:gridCol w:w="838"/>
        <w:gridCol w:w="932"/>
        <w:gridCol w:w="838"/>
        <w:gridCol w:w="948"/>
        <w:gridCol w:w="854"/>
      </w:tblGrid>
      <w:tr w:rsidR="004C77EE" w:rsidRPr="00150919" w:rsidTr="004C77EE">
        <w:trPr>
          <w:trHeight w:val="278"/>
        </w:trPr>
        <w:tc>
          <w:tcPr>
            <w:tcW w:w="0" w:type="auto"/>
            <w:vMerge w:val="restart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Вид охраны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Время охраны</w:t>
            </w:r>
          </w:p>
        </w:tc>
      </w:tr>
      <w:tr w:rsidR="004C77EE" w:rsidRPr="00150919" w:rsidTr="004C77EE">
        <w:trPr>
          <w:trHeight w:val="135"/>
        </w:trPr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tabs>
                <w:tab w:val="left" w:pos="7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Обычные дни</w:t>
            </w:r>
          </w:p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b/>
                <w:lang w:eastAsia="ru-RU"/>
              </w:rPr>
              <w:t>Круглосуточно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Укороченные дни</w:t>
            </w:r>
          </w:p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b/>
                <w:lang w:eastAsia="ru-RU"/>
              </w:rPr>
              <w:t>Круглосуточно</w:t>
            </w:r>
          </w:p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Выходные, праздничные дни</w:t>
            </w:r>
          </w:p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b/>
                <w:lang w:eastAsia="ru-RU"/>
              </w:rPr>
              <w:t>Круглосуточно</w:t>
            </w:r>
          </w:p>
        </w:tc>
      </w:tr>
      <w:tr w:rsidR="004C77EE" w:rsidRPr="00150919" w:rsidTr="004C77EE">
        <w:trPr>
          <w:trHeight w:val="135"/>
        </w:trPr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150919" w:rsidRDefault="004C77EE" w:rsidP="00A464CA">
            <w:pPr>
              <w:tabs>
                <w:tab w:val="left" w:pos="7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</w:p>
        </w:tc>
      </w:tr>
      <w:tr w:rsidR="004C77EE" w:rsidRPr="00150919" w:rsidTr="004C77EE">
        <w:trPr>
          <w:trHeight w:val="276"/>
        </w:trPr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здание:</w:t>
            </w:r>
          </w:p>
          <w:p w:rsidR="004C77EE" w:rsidRPr="00150919" w:rsidRDefault="004C77EE" w:rsidP="00A464C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г. Астрахань, </w:t>
            </w:r>
          </w:p>
          <w:p w:rsidR="004C77EE" w:rsidRPr="00150919" w:rsidRDefault="004C77EE" w:rsidP="00A464C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ул. Академика Королева, д.46</w:t>
            </w:r>
          </w:p>
        </w:tc>
        <w:tc>
          <w:tcPr>
            <w:tcW w:w="0" w:type="auto"/>
            <w:shd w:val="clear" w:color="auto" w:fill="auto"/>
          </w:tcPr>
          <w:p w:rsidR="004C77EE" w:rsidRPr="00172A27" w:rsidRDefault="004C77EE" w:rsidP="00A464C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Кнопка тревожной сигнализации (КТС):</w:t>
            </w:r>
          </w:p>
          <w:p w:rsidR="004C77EE" w:rsidRPr="00150919" w:rsidRDefault="004C77EE" w:rsidP="00A464CA">
            <w:pPr>
              <w:tabs>
                <w:tab w:val="left" w:pos="7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состоянием сре</w:t>
            </w:r>
            <w:proofErr w:type="gramStart"/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тр</w:t>
            </w:r>
            <w:proofErr w:type="gramEnd"/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евожной сигнализации, экстренный выезд группы ГБР (ЧОО) по сигналу «Тревога» и техническому обслуживанию КТС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08-00 мин.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0" w:type="auto"/>
            <w:shd w:val="clear" w:color="auto" w:fill="auto"/>
          </w:tcPr>
          <w:p w:rsidR="004C77EE" w:rsidRPr="00150919" w:rsidRDefault="004C77EE" w:rsidP="00A464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</w:tr>
    </w:tbl>
    <w:p w:rsidR="004C77EE" w:rsidRDefault="004C77EE" w:rsidP="004C77EE">
      <w:pPr>
        <w:pStyle w:val="a3"/>
        <w:shd w:val="clear" w:color="auto" w:fill="FFFFFF"/>
        <w:spacing w:before="0" w:beforeAutospacing="0" w:after="0"/>
        <w:ind w:right="-30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26"/>
        <w:gridCol w:w="2455"/>
        <w:gridCol w:w="2182"/>
        <w:gridCol w:w="1451"/>
        <w:gridCol w:w="1309"/>
      </w:tblGrid>
      <w:tr w:rsidR="004C77EE" w:rsidRPr="00F87879" w:rsidTr="004C77EE">
        <w:trPr>
          <w:trHeight w:val="477"/>
        </w:trPr>
        <w:tc>
          <w:tcPr>
            <w:tcW w:w="0" w:type="auto"/>
            <w:shd w:val="clear" w:color="auto" w:fill="auto"/>
          </w:tcPr>
          <w:p w:rsidR="004C77EE" w:rsidRPr="00F87879" w:rsidRDefault="004C77EE" w:rsidP="00A464CA">
            <w:pPr>
              <w:spacing w:after="0" w:line="240" w:lineRule="auto"/>
              <w:ind w:left="-1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4C77EE" w:rsidRPr="001D6BCB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0" w:type="auto"/>
            <w:shd w:val="clear" w:color="auto" w:fill="auto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4C77EE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(один пост)</w:t>
            </w:r>
          </w:p>
        </w:tc>
        <w:tc>
          <w:tcPr>
            <w:tcW w:w="0" w:type="auto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(два поста)</w:t>
            </w:r>
          </w:p>
        </w:tc>
      </w:tr>
      <w:tr w:rsidR="004C77EE" w:rsidRPr="00F87879" w:rsidTr="004C77EE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8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80.10.12.000-00000003</w:t>
            </w:r>
          </w:p>
        </w:tc>
        <w:tc>
          <w:tcPr>
            <w:tcW w:w="0" w:type="auto"/>
            <w:shd w:val="clear" w:color="auto" w:fill="auto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8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 охраны</w:t>
            </w:r>
          </w:p>
        </w:tc>
        <w:tc>
          <w:tcPr>
            <w:tcW w:w="0" w:type="auto"/>
            <w:shd w:val="clear" w:color="auto" w:fill="auto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8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Чел./час  </w:t>
            </w:r>
          </w:p>
        </w:tc>
        <w:tc>
          <w:tcPr>
            <w:tcW w:w="0" w:type="auto"/>
            <w:shd w:val="clear" w:color="auto" w:fill="auto"/>
          </w:tcPr>
          <w:p w:rsidR="004C77EE" w:rsidRPr="001F783C" w:rsidRDefault="004C77EE" w:rsidP="00A464CA">
            <w:pPr>
              <w:keepNext/>
              <w:keepLines/>
              <w:suppressLineNumber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2 160</w:t>
            </w:r>
          </w:p>
        </w:tc>
        <w:tc>
          <w:tcPr>
            <w:tcW w:w="0" w:type="auto"/>
          </w:tcPr>
          <w:p w:rsidR="004C77EE" w:rsidRPr="001F783C" w:rsidRDefault="004C77EE" w:rsidP="00A464CA">
            <w:pPr>
              <w:keepNext/>
              <w:keepLines/>
              <w:suppressLineNumber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4 320</w:t>
            </w:r>
          </w:p>
        </w:tc>
      </w:tr>
      <w:tr w:rsidR="004C77EE" w:rsidRPr="00F87879" w:rsidTr="004C77EE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4C77EE" w:rsidRPr="00F87879" w:rsidRDefault="004C77EE" w:rsidP="00A464CA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часов за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44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квартал  2023 года</w:t>
            </w:r>
            <w:r w:rsidRPr="00F87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C77EE" w:rsidRPr="00792331" w:rsidRDefault="004C77EE" w:rsidP="00A464C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</w:t>
            </w:r>
            <w:r w:rsidRPr="00792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C77EE" w:rsidRPr="00F87879" w:rsidRDefault="004C77EE" w:rsidP="004C77E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77EE" w:rsidRPr="00F87879" w:rsidRDefault="004C77EE" w:rsidP="004C77EE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F87879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Код товара (работы, услуги) 80.10.12.000-00000003- Услуги частной охраны (Выставление поста охраны).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4C77EE" w:rsidRPr="00F87879" w:rsidTr="00A464CA">
        <w:trPr>
          <w:tblCellSpacing w:w="15" w:type="dxa"/>
        </w:trPr>
        <w:tc>
          <w:tcPr>
            <w:tcW w:w="10191" w:type="dxa"/>
            <w:vAlign w:val="center"/>
            <w:hideMark/>
          </w:tcPr>
          <w:p w:rsidR="004C77EE" w:rsidRPr="00F87879" w:rsidRDefault="004C77EE" w:rsidP="00A464CA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Характеристики услуги:</w:t>
            </w:r>
          </w:p>
        </w:tc>
      </w:tr>
    </w:tbl>
    <w:p w:rsidR="004C77EE" w:rsidRPr="00F87879" w:rsidRDefault="004C77EE" w:rsidP="004C77EE">
      <w:pPr>
        <w:spacing w:after="0"/>
        <w:rPr>
          <w:rFonts w:ascii="Times New Roman" w:eastAsiaTheme="minorEastAsia" w:hAnsi="Times New Roman" w:cs="Times New Roman"/>
          <w:vanish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038"/>
        <w:gridCol w:w="4111"/>
        <w:gridCol w:w="1946"/>
      </w:tblGrid>
      <w:tr w:rsidR="004C77EE" w:rsidRPr="00F87879" w:rsidTr="004C7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Вид характеристики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Единица измерения </w:t>
            </w:r>
            <w:r w:rsidRPr="00F87879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lastRenderedPageBreak/>
              <w:t>характеристики</w:t>
            </w:r>
          </w:p>
        </w:tc>
      </w:tr>
      <w:tr w:rsidR="004C77EE" w:rsidRPr="00F87879" w:rsidTr="004C7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Наличие оружия у сотрудников охраны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gramStart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Изменяемая</w:t>
            </w:r>
            <w:proofErr w:type="gramEnd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заказчиком (выбор одного) 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</w:tr>
      <w:tr w:rsidR="004C77EE" w:rsidRPr="00F87879" w:rsidTr="004C7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Наличие оружия у сотрудников мобильной группы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gramStart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Изменяемая</w:t>
            </w:r>
            <w:proofErr w:type="gramEnd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заказчиком (выбор одного) 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</w:tr>
      <w:tr w:rsidR="004C77EE" w:rsidRPr="00F87879" w:rsidTr="004C7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Использование мобильной группы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gramStart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Неизменяемая</w:t>
            </w:r>
            <w:proofErr w:type="gramEnd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заказчиком 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</w:tr>
      <w:tr w:rsidR="004C77EE" w:rsidRPr="00F87879" w:rsidTr="004C77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услуги по охране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gramStart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Изменяемая</w:t>
            </w:r>
            <w:proofErr w:type="gramEnd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заказчиком (множественный выбор) 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Охрана объектов, а также обеспечение </w:t>
            </w:r>
            <w:proofErr w:type="spellStart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внутриобъектового</w:t>
            </w:r>
            <w:proofErr w:type="spellEnd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0" w:type="auto"/>
            <w:vAlign w:val="center"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</w:tr>
      <w:tr w:rsidR="004C77EE" w:rsidRPr="00F87879" w:rsidTr="004C77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0" w:type="auto"/>
            <w:vAlign w:val="center"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</w:tr>
      <w:tr w:rsidR="004C77EE" w:rsidRPr="00F87879" w:rsidTr="004C77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Охрана имущества, а также обеспечение </w:t>
            </w:r>
            <w:proofErr w:type="spellStart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внутриобъектового</w:t>
            </w:r>
            <w:proofErr w:type="spellEnd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0" w:type="auto"/>
            <w:vAlign w:val="center"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</w:tr>
      <w:tr w:rsidR="004C77EE" w:rsidRPr="00F87879" w:rsidTr="004C77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0" w:type="auto"/>
            <w:vAlign w:val="center"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</w:tr>
      <w:tr w:rsidR="004C77EE" w:rsidRPr="00F87879" w:rsidTr="004C7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Использование специальных средств</w:t>
            </w:r>
          </w:p>
        </w:tc>
        <w:tc>
          <w:tcPr>
            <w:tcW w:w="0" w:type="auto"/>
            <w:vAlign w:val="center"/>
            <w:hideMark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gramStart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Изменяемая</w:t>
            </w:r>
            <w:proofErr w:type="gramEnd"/>
            <w:r w:rsidRPr="00F8787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заказчиком (выбор одного) </w:t>
            </w:r>
          </w:p>
        </w:tc>
        <w:tc>
          <w:tcPr>
            <w:tcW w:w="0" w:type="auto"/>
            <w:vAlign w:val="center"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F87879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4C77EE" w:rsidRPr="00F87879" w:rsidRDefault="004C77EE" w:rsidP="004C77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4C77EE" w:rsidRDefault="004C77EE" w:rsidP="004C77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4C77EE" w:rsidRDefault="004C77EE" w:rsidP="004C77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C77EE" w:rsidRPr="005B17E3" w:rsidRDefault="004C77EE" w:rsidP="004C77EE">
      <w:pPr>
        <w:pStyle w:val="a3"/>
        <w:shd w:val="clear" w:color="auto" w:fill="FFFFFF"/>
        <w:spacing w:before="0" w:beforeAutospacing="0" w:after="0"/>
        <w:ind w:right="-301"/>
        <w:jc w:val="both"/>
        <w:rPr>
          <w:b/>
        </w:rPr>
      </w:pPr>
      <w:r w:rsidRPr="005B17E3">
        <w:rPr>
          <w:b/>
        </w:rPr>
        <w:t>Сроки исполнения контракта включают в себя следующие сроки оказания услуг:</w:t>
      </w:r>
    </w:p>
    <w:p w:rsidR="004C77EE" w:rsidRDefault="004C77EE" w:rsidP="004C77EE">
      <w:pPr>
        <w:pStyle w:val="a3"/>
        <w:shd w:val="clear" w:color="auto" w:fill="FFFFFF"/>
        <w:spacing w:before="0" w:beforeAutospacing="0" w:after="0"/>
        <w:ind w:right="-301"/>
        <w:jc w:val="both"/>
      </w:pPr>
      <w:r>
        <w:t>Срок оказания услуг: с 01.01. 2023 года по 31.03.2023 года.</w:t>
      </w:r>
    </w:p>
    <w:p w:rsidR="004C77EE" w:rsidRDefault="004C77EE" w:rsidP="004C77EE">
      <w:pPr>
        <w:pStyle w:val="a3"/>
        <w:shd w:val="clear" w:color="auto" w:fill="FFFFFF"/>
        <w:spacing w:before="0" w:beforeAutospacing="0" w:after="0"/>
        <w:ind w:right="-301"/>
        <w:jc w:val="both"/>
        <w:rPr>
          <w:b/>
        </w:rPr>
      </w:pPr>
      <w:r w:rsidRPr="005B17E3">
        <w:rPr>
          <w:b/>
        </w:rPr>
        <w:t>В том</w:t>
      </w:r>
      <w:r>
        <w:rPr>
          <w:b/>
        </w:rPr>
        <w:t xml:space="preserve"> числе Заказчик устанавливает 3 этапа</w:t>
      </w:r>
      <w:r w:rsidRPr="005B17E3">
        <w:rPr>
          <w:b/>
        </w:rPr>
        <w:t xml:space="preserve"> исполнения контракта: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85"/>
        <w:gridCol w:w="1907"/>
        <w:gridCol w:w="1932"/>
        <w:gridCol w:w="3495"/>
      </w:tblGrid>
      <w:tr w:rsidR="004C77EE" w:rsidRPr="003E6321" w:rsidTr="004C77EE">
        <w:tc>
          <w:tcPr>
            <w:tcW w:w="0" w:type="auto"/>
            <w:vMerge w:val="restart"/>
          </w:tcPr>
          <w:p w:rsidR="004C77EE" w:rsidRDefault="004C77EE" w:rsidP="004C7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Этап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77EE" w:rsidRDefault="004C77EE" w:rsidP="004C7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Срок оказания услуг</w:t>
            </w:r>
          </w:p>
          <w:p w:rsidR="004C77EE" w:rsidRPr="003E6321" w:rsidRDefault="004C77EE" w:rsidP="004C7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(м</w:t>
            </w:r>
            <w:r w:rsidRPr="003E6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есяц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7EE" w:rsidRPr="003E6321" w:rsidRDefault="004C77EE" w:rsidP="004C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Количество часов охраны объекта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(чел./</w:t>
            </w:r>
            <w:r w:rsidRPr="003E6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77EE" w:rsidRPr="003E6321" w:rsidRDefault="004C77EE" w:rsidP="004C7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6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Общее количество часов охраны,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чел./</w:t>
            </w:r>
            <w:r w:rsidRPr="003E6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час</w:t>
            </w:r>
          </w:p>
        </w:tc>
      </w:tr>
      <w:tr w:rsidR="004C77EE" w:rsidRPr="003E6321" w:rsidTr="004C77EE">
        <w:tc>
          <w:tcPr>
            <w:tcW w:w="0" w:type="auto"/>
            <w:vMerge/>
          </w:tcPr>
          <w:p w:rsidR="004C77EE" w:rsidRPr="003E6321" w:rsidRDefault="004C77EE" w:rsidP="004C77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7EE" w:rsidRPr="003E6321" w:rsidRDefault="004C77EE" w:rsidP="004C77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C77EE" w:rsidRPr="00953728" w:rsidRDefault="004C77EE" w:rsidP="004C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953728">
              <w:rPr>
                <w:rFonts w:ascii="Times New Roman" w:hAnsi="Times New Roman" w:cs="Times New Roman"/>
                <w:b/>
                <w:color w:val="000000"/>
                <w:szCs w:val="28"/>
              </w:rPr>
              <w:t>Один пост охраны</w:t>
            </w:r>
          </w:p>
          <w:p w:rsidR="004C77EE" w:rsidRPr="00953728" w:rsidRDefault="004C77EE" w:rsidP="004C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953728">
              <w:rPr>
                <w:rFonts w:ascii="Times New Roman" w:hAnsi="Times New Roman" w:cs="Times New Roman"/>
                <w:b/>
                <w:color w:val="000000"/>
                <w:szCs w:val="28"/>
              </w:rPr>
              <w:t>24 часа</w:t>
            </w:r>
          </w:p>
        </w:tc>
        <w:tc>
          <w:tcPr>
            <w:tcW w:w="0" w:type="auto"/>
            <w:shd w:val="clear" w:color="auto" w:fill="auto"/>
          </w:tcPr>
          <w:p w:rsidR="004C77EE" w:rsidRPr="004C63E1" w:rsidRDefault="004C77EE" w:rsidP="004C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Два пост охраны</w:t>
            </w:r>
          </w:p>
          <w:p w:rsidR="004C77EE" w:rsidRPr="004C63E1" w:rsidRDefault="004C77EE" w:rsidP="004C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 часа</w:t>
            </w:r>
          </w:p>
        </w:tc>
        <w:tc>
          <w:tcPr>
            <w:tcW w:w="0" w:type="auto"/>
            <w:vMerge/>
            <w:shd w:val="clear" w:color="auto" w:fill="auto"/>
          </w:tcPr>
          <w:p w:rsidR="004C77EE" w:rsidRPr="003E6321" w:rsidRDefault="004C77EE" w:rsidP="004C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7EE" w:rsidRPr="001911D8" w:rsidTr="004C77EE">
        <w:tc>
          <w:tcPr>
            <w:tcW w:w="0" w:type="auto"/>
          </w:tcPr>
          <w:p w:rsidR="004C77EE" w:rsidRPr="00D42F92" w:rsidRDefault="004C77EE" w:rsidP="004C77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42F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1-й этап </w:t>
            </w:r>
          </w:p>
        </w:tc>
        <w:tc>
          <w:tcPr>
            <w:tcW w:w="0" w:type="auto"/>
            <w:shd w:val="clear" w:color="auto" w:fill="auto"/>
          </w:tcPr>
          <w:p w:rsidR="004C77EE" w:rsidRPr="003E6321" w:rsidRDefault="004C77EE" w:rsidP="004C77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3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4C77EE" w:rsidRPr="003D4028" w:rsidRDefault="004C77EE" w:rsidP="004C77EE">
            <w:pPr>
              <w:widowControl w:val="0"/>
              <w:tabs>
                <w:tab w:val="center" w:pos="11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40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744</w:t>
            </w:r>
          </w:p>
        </w:tc>
        <w:tc>
          <w:tcPr>
            <w:tcW w:w="0" w:type="auto"/>
            <w:shd w:val="clear" w:color="auto" w:fill="auto"/>
          </w:tcPr>
          <w:p w:rsidR="004C77EE" w:rsidRPr="004C63E1" w:rsidRDefault="004C77EE" w:rsidP="004C77EE">
            <w:pPr>
              <w:widowControl w:val="0"/>
              <w:tabs>
                <w:tab w:val="center" w:pos="11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3E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1488</w:t>
            </w:r>
          </w:p>
        </w:tc>
        <w:tc>
          <w:tcPr>
            <w:tcW w:w="0" w:type="auto"/>
            <w:shd w:val="clear" w:color="auto" w:fill="auto"/>
          </w:tcPr>
          <w:p w:rsidR="004C77EE" w:rsidRPr="004C63E1" w:rsidRDefault="004C77EE" w:rsidP="004C77EE">
            <w:pPr>
              <w:widowControl w:val="0"/>
              <w:tabs>
                <w:tab w:val="center" w:pos="11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3E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1488</w:t>
            </w:r>
          </w:p>
        </w:tc>
      </w:tr>
      <w:tr w:rsidR="004C77EE" w:rsidRPr="001911D8" w:rsidTr="004C77EE">
        <w:tc>
          <w:tcPr>
            <w:tcW w:w="0" w:type="auto"/>
          </w:tcPr>
          <w:p w:rsidR="004C77EE" w:rsidRPr="003E6321" w:rsidRDefault="004C77EE" w:rsidP="004C77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D42F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-й этап</w:t>
            </w:r>
          </w:p>
        </w:tc>
        <w:tc>
          <w:tcPr>
            <w:tcW w:w="0" w:type="auto"/>
            <w:shd w:val="clear" w:color="auto" w:fill="auto"/>
          </w:tcPr>
          <w:p w:rsidR="004C77EE" w:rsidRPr="003E6321" w:rsidRDefault="004C77EE" w:rsidP="004C77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3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4C77EE" w:rsidRPr="003D4028" w:rsidRDefault="004C77EE" w:rsidP="004C7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40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0" w:type="auto"/>
            <w:shd w:val="clear" w:color="auto" w:fill="auto"/>
          </w:tcPr>
          <w:p w:rsidR="004C77EE" w:rsidRPr="004C63E1" w:rsidRDefault="004C77EE" w:rsidP="004C7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3E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1344</w:t>
            </w:r>
          </w:p>
        </w:tc>
        <w:tc>
          <w:tcPr>
            <w:tcW w:w="0" w:type="auto"/>
            <w:shd w:val="clear" w:color="auto" w:fill="auto"/>
          </w:tcPr>
          <w:p w:rsidR="004C77EE" w:rsidRPr="004C63E1" w:rsidRDefault="004C77EE" w:rsidP="004C7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3E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1344</w:t>
            </w:r>
          </w:p>
        </w:tc>
      </w:tr>
      <w:tr w:rsidR="004C77EE" w:rsidRPr="001911D8" w:rsidTr="004C77EE">
        <w:tc>
          <w:tcPr>
            <w:tcW w:w="0" w:type="auto"/>
          </w:tcPr>
          <w:p w:rsidR="004C77EE" w:rsidRPr="003E6321" w:rsidRDefault="004C77EE" w:rsidP="004C77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D42F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-й этап</w:t>
            </w:r>
          </w:p>
        </w:tc>
        <w:tc>
          <w:tcPr>
            <w:tcW w:w="0" w:type="auto"/>
            <w:shd w:val="clear" w:color="auto" w:fill="auto"/>
          </w:tcPr>
          <w:p w:rsidR="004C77EE" w:rsidRPr="003E6321" w:rsidRDefault="004C77EE" w:rsidP="004C77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3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4C77EE" w:rsidRPr="003D4028" w:rsidRDefault="004C77EE" w:rsidP="004C77EE">
            <w:pPr>
              <w:widowControl w:val="0"/>
              <w:tabs>
                <w:tab w:val="center" w:pos="11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40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744</w:t>
            </w:r>
          </w:p>
        </w:tc>
        <w:tc>
          <w:tcPr>
            <w:tcW w:w="0" w:type="auto"/>
            <w:shd w:val="clear" w:color="auto" w:fill="auto"/>
          </w:tcPr>
          <w:p w:rsidR="004C77EE" w:rsidRPr="004C63E1" w:rsidRDefault="004C77EE" w:rsidP="004C77EE">
            <w:pPr>
              <w:widowControl w:val="0"/>
              <w:tabs>
                <w:tab w:val="center" w:pos="11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3E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1488</w:t>
            </w:r>
          </w:p>
        </w:tc>
        <w:tc>
          <w:tcPr>
            <w:tcW w:w="0" w:type="auto"/>
            <w:shd w:val="clear" w:color="auto" w:fill="auto"/>
          </w:tcPr>
          <w:p w:rsidR="004C77EE" w:rsidRPr="004C63E1" w:rsidRDefault="004C77EE" w:rsidP="004C77EE">
            <w:pPr>
              <w:widowControl w:val="0"/>
              <w:tabs>
                <w:tab w:val="center" w:pos="11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3E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1488</w:t>
            </w:r>
          </w:p>
        </w:tc>
      </w:tr>
      <w:tr w:rsidR="004C77EE" w:rsidRPr="001911D8" w:rsidTr="004C77EE">
        <w:tc>
          <w:tcPr>
            <w:tcW w:w="0" w:type="auto"/>
            <w:gridSpan w:val="4"/>
          </w:tcPr>
          <w:p w:rsidR="004C77EE" w:rsidRPr="004C63E1" w:rsidRDefault="004C77EE" w:rsidP="004C77EE">
            <w:pPr>
              <w:widowControl w:val="0"/>
              <w:tabs>
                <w:tab w:val="center" w:pos="1132"/>
                <w:tab w:val="left" w:pos="53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4C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(2 поста х 24 часа за I квартал 2023 года):</w:t>
            </w:r>
            <w:r w:rsidRPr="004C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C77EE" w:rsidRPr="004C63E1" w:rsidRDefault="004C77EE" w:rsidP="004C77EE">
            <w:pPr>
              <w:widowControl w:val="0"/>
              <w:tabs>
                <w:tab w:val="center" w:pos="11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3E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4320</w:t>
            </w:r>
          </w:p>
        </w:tc>
      </w:tr>
    </w:tbl>
    <w:p w:rsidR="004C77EE" w:rsidRDefault="004C77EE" w:rsidP="004C77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EE" w:rsidRPr="0019018E" w:rsidRDefault="004C77EE" w:rsidP="004C77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C77EE" w:rsidRPr="001F783C" w:rsidRDefault="004C77EE" w:rsidP="004C77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передать объекты под охрану, а Исполнитель обязан принять и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упить к охране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00 ч. 00 мин. 01 января 2023г. по 24 ч. 00 мин. 31 марта 2023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(включительно).</w:t>
      </w:r>
    </w:p>
    <w:p w:rsidR="004C77EE" w:rsidRDefault="004C77EE" w:rsidP="004C77EE">
      <w:pPr>
        <w:tabs>
          <w:tab w:val="left" w:pos="93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объектов осуществляется в присутствии представителей Заказч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ика, представителей Исполнителя  по контракту на охрану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период:</w:t>
      </w:r>
    </w:p>
    <w:p w:rsidR="004C77EE" w:rsidRPr="00881ABD" w:rsidRDefault="004C77EE" w:rsidP="004C77EE">
      <w:pPr>
        <w:tabs>
          <w:tab w:val="left" w:pos="0"/>
          <w:tab w:val="left" w:pos="851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с 16 ч. 00 мин. по 24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ч. 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 2022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приемка объекта.</w:t>
      </w:r>
    </w:p>
    <w:p w:rsidR="004C77EE" w:rsidRPr="0019018E" w:rsidRDefault="004C77EE" w:rsidP="004C77EE">
      <w:pPr>
        <w:tabs>
          <w:tab w:val="left" w:pos="0"/>
          <w:tab w:val="left" w:pos="851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- с 16 ч. 00 мин. по 24 ч. 00 мин. 31 марта 2023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– сдача объекта;</w:t>
      </w:r>
    </w:p>
    <w:p w:rsidR="004C77EE" w:rsidRPr="0019018E" w:rsidRDefault="004C77EE" w:rsidP="004C77E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объектов осуществляется на основании Акта передачи, подписан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Заказчиком и представителем Исполнителя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контракту на охрану объ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77EE" w:rsidRDefault="004C77EE" w:rsidP="004C77E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состояние охраняемого объекта, средств охраны, связи и пожаротушения должно соответствовать 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ебованиям по технической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укреплё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нности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оборудованию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игнализацией охраняемого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потребность в этих средствах, предложения их внедрения указывается путем составления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отдельного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двусторо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ннего акта обследования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составляемом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трёх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суток после даты заключения Контракта.</w:t>
      </w:r>
      <w:proofErr w:type="gramEnd"/>
    </w:p>
    <w:p w:rsidR="004C77EE" w:rsidRDefault="004C77EE" w:rsidP="004C77E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8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Порядок оплаты: </w:t>
      </w:r>
      <w:r w:rsidRPr="003C4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за оказанные услуги осуществляется Заказчиком ежемесячно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 7 (семи) рабочи</w:t>
      </w:r>
      <w:r w:rsidRPr="001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дней </w:t>
      </w:r>
      <w:proofErr w:type="gramStart"/>
      <w:r w:rsidRPr="001F783C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1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Заказчиком Акта сдачи-приемки</w:t>
      </w:r>
      <w:r w:rsidRPr="003C4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оказанных услуг на основании счета, счета-фактуры. </w:t>
      </w:r>
    </w:p>
    <w:p w:rsidR="004C77EE" w:rsidRDefault="004C77EE" w:rsidP="004C77E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7EE" w:rsidRDefault="004C77EE" w:rsidP="004C77E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объекта</w:t>
      </w:r>
    </w:p>
    <w:p w:rsidR="004C77EE" w:rsidRPr="00EA6029" w:rsidRDefault="004C77EE" w:rsidP="004C77E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Объект: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 Государственного учреждения – Астраханского регионального отделения Фонда социального страхования Российской Федерации.</w:t>
      </w:r>
    </w:p>
    <w:p w:rsidR="004C77EE" w:rsidRDefault="004C77EE" w:rsidP="004C77EE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Адрес объекта: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Академика Королева,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</w:p>
    <w:p w:rsidR="004C77EE" w:rsidRDefault="004C77EE" w:rsidP="004C77EE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сотрудников Регионального отделения -  </w:t>
      </w:r>
      <w:r w:rsidRPr="00525EC1">
        <w:rPr>
          <w:rFonts w:ascii="Times New Roman" w:eastAsia="Times New Roman" w:hAnsi="Times New Roman" w:cs="Times New Roman"/>
          <w:sz w:val="24"/>
          <w:szCs w:val="24"/>
          <w:lang w:eastAsia="ru-RU"/>
        </w:rPr>
        <w:t>189/113 чел.,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7EE" w:rsidRPr="00EA6029" w:rsidRDefault="004C77EE" w:rsidP="004C77EE">
      <w:pPr>
        <w:shd w:val="clear" w:color="auto" w:fill="FFFFFF"/>
        <w:spacing w:after="0" w:line="240" w:lineRule="auto"/>
        <w:ind w:right="-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 -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единиц. </w:t>
      </w:r>
    </w:p>
    <w:p w:rsidR="004C77EE" w:rsidRPr="0019018E" w:rsidRDefault="004C77EE" w:rsidP="004C77E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Характеристика и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укреплённость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объекта:</w:t>
      </w:r>
    </w:p>
    <w:p w:rsidR="004C77EE" w:rsidRPr="0019018E" w:rsidRDefault="004C77EE" w:rsidP="004C77EE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- семиэтажное с двух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этажным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системами охранно-пожарной сигнализации и видеонаблюдения, </w:t>
      </w:r>
      <w:r w:rsidRPr="0019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сервер с модулем газового пожаротушения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(МГП)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подвальное помещение и пристрой с открытой стоянкой автотранспорта отделения. С торца здания установлены трансформаторная подстанция и дизель-генератор. Рабочие места сотрудников полностью компьютеризированы, имеется сервер и внутренняя АТС.</w:t>
      </w:r>
    </w:p>
    <w:p w:rsidR="004C77EE" w:rsidRPr="0019018E" w:rsidRDefault="004C77EE" w:rsidP="004C77EE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Общая площадь здания с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2641,6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подвальное помещение - 351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прилегающей территории 1700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огражденная по периметру. На территории, прилегающей к зданию, высажены зеленые насаждения. В холле первого этажа установлены две двери с электромагнитными замками. Все выходы из здания имеют двери и внутренние запоры на них.     </w:t>
      </w:r>
      <w:r w:rsidRPr="007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количество посетителей – до 100 чел. Четыре месяца в году (в начале и конце каждого квартала) количество посетителей возрастает до 250-300 чел. в день.</w:t>
      </w:r>
    </w:p>
    <w:p w:rsidR="004C77EE" w:rsidRPr="0019018E" w:rsidRDefault="004C77EE" w:rsidP="004C77E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технических средств охраны, контроля доступа, ОПС и т.д.: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7EE" w:rsidRPr="0019018E" w:rsidRDefault="004C77EE" w:rsidP="004C77E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имеется охранно-пожарная сигнализация, система звукового оповещения, система видеонаблюдения.</w:t>
      </w:r>
    </w:p>
    <w:p w:rsidR="004C77EE" w:rsidRPr="0019018E" w:rsidRDefault="004C77EE" w:rsidP="004C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работы: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время ведется прием посетителей, режим работы учреждения и прием посетителей в рабочие дни:  понед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ельник-пятница с 08-00 до 17-00 часов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еденный перерыв с 12-00 до 13-00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ходные дни - суббота, воскресень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4C77EE" w:rsidRDefault="004C77EE" w:rsidP="004C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возможно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режима работы учреждения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приему посетителей в предпраздничные дни.  </w:t>
      </w:r>
    </w:p>
    <w:p w:rsidR="004C77EE" w:rsidRDefault="004C77EE" w:rsidP="004C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сотрудн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Заказчика ненормированный.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C77EE" w:rsidRDefault="004C77EE" w:rsidP="004C77EE">
      <w:pPr>
        <w:pStyle w:val="a3"/>
        <w:shd w:val="clear" w:color="auto" w:fill="FFFFFF"/>
        <w:spacing w:before="0" w:beforeAutospacing="0" w:after="0"/>
        <w:jc w:val="both"/>
      </w:pPr>
    </w:p>
    <w:p w:rsidR="004C77EE" w:rsidRPr="005E68E3" w:rsidRDefault="004C77EE" w:rsidP="004C77EE">
      <w:pPr>
        <w:pStyle w:val="a3"/>
        <w:shd w:val="clear" w:color="auto" w:fill="FFFFFF"/>
        <w:spacing w:before="0" w:beforeAutospacing="0" w:after="0"/>
        <w:ind w:right="-28"/>
        <w:jc w:val="center"/>
        <w:rPr>
          <w:b/>
          <w:bCs/>
        </w:rPr>
      </w:pPr>
      <w:r w:rsidRPr="005E68E3">
        <w:rPr>
          <w:b/>
          <w:bCs/>
        </w:rPr>
        <w:t>2. Перечень оказания услуг по охране и обеспечению пропускного и внутри</w:t>
      </w:r>
      <w:r>
        <w:rPr>
          <w:b/>
          <w:bCs/>
        </w:rPr>
        <w:t xml:space="preserve"> </w:t>
      </w:r>
      <w:r w:rsidRPr="005E68E3">
        <w:rPr>
          <w:b/>
          <w:bCs/>
        </w:rPr>
        <w:t xml:space="preserve">объектового режимов </w:t>
      </w:r>
      <w:r w:rsidRPr="005E68E3">
        <w:rPr>
          <w:b/>
        </w:rPr>
        <w:t xml:space="preserve">и </w:t>
      </w:r>
      <w:proofErr w:type="gramStart"/>
      <w:r w:rsidRPr="005E68E3">
        <w:rPr>
          <w:b/>
          <w:bCs/>
        </w:rPr>
        <w:t>контролю за</w:t>
      </w:r>
      <w:proofErr w:type="gramEnd"/>
      <w:r w:rsidRPr="005E68E3">
        <w:rPr>
          <w:b/>
          <w:bCs/>
        </w:rPr>
        <w:t xml:space="preserve"> противопожарной безопасностью объекта, при возникновении аварийных (нештатных) ситуаций</w:t>
      </w:r>
    </w:p>
    <w:p w:rsidR="004C77EE" w:rsidRDefault="004C77EE" w:rsidP="004C77EE">
      <w:pPr>
        <w:pStyle w:val="a3"/>
        <w:shd w:val="clear" w:color="auto" w:fill="FFFFFF"/>
        <w:spacing w:before="0" w:beforeAutospacing="0" w:after="0"/>
        <w:ind w:right="-28"/>
        <w:rPr>
          <w:b/>
          <w:bCs/>
        </w:rPr>
      </w:pPr>
      <w:r>
        <w:rPr>
          <w:b/>
          <w:bCs/>
        </w:rPr>
        <w:t xml:space="preserve">      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Оказываемые услуги должны соответствовать требованиям Закона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5E68E3">
          <w:rPr>
            <w:rFonts w:ascii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5E68E3">
        <w:rPr>
          <w:rFonts w:ascii="Times New Roman" w:hAnsi="Times New Roman" w:cs="Times New Roman"/>
          <w:sz w:val="24"/>
          <w:szCs w:val="24"/>
          <w:lang w:eastAsia="ru-RU"/>
        </w:rPr>
        <w:t>. № 2487-1 «О частной детективной и охранной деятельности в Российской Федерации».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F71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период с 00 ч.-00 мин.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7F717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января 2023</w:t>
      </w:r>
      <w:r w:rsidRPr="007F71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по 24 ч.-00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мин. 31 марта 2023</w:t>
      </w:r>
      <w:r w:rsidRPr="007F71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- обеспечени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круглосуточной охраны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. Пор</w:t>
      </w:r>
      <w:r>
        <w:rPr>
          <w:rFonts w:ascii="Times New Roman" w:hAnsi="Times New Roman" w:cs="Times New Roman"/>
          <w:sz w:val="24"/>
          <w:szCs w:val="24"/>
          <w:lang w:eastAsia="ru-RU"/>
        </w:rPr>
        <w:t>ядок организации охраны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Должностной инструкцией частного охранника на объекте охраны, разрабатываемой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утверждаемой Исполнителем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и согласовываемой с Заказчиком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C77EE" w:rsidRPr="009161B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9161BE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 должен выполнять следующие виды услуг: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твление физической охраны здания Отделения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(г.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Астрахань, ул. Академика Королёва, д.46), прилегающей к Отделению территории с целью обнаружения возможных опасных ситуаций (которые могут дестабилизировать нормальную его работу, привести к повреждению, разрушен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ию либо уничтожению его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находящихся в них материальных ценностей, вызвать угрозу </w:t>
      </w:r>
      <w:r w:rsidRPr="009161BE">
        <w:rPr>
          <w:rFonts w:ascii="Times New Roman" w:hAnsi="Times New Roman" w:cs="Times New Roman"/>
          <w:sz w:val="24"/>
          <w:szCs w:val="24"/>
          <w:lang w:eastAsia="ru-RU"/>
        </w:rPr>
        <w:t>жизни и здоровью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 Отделения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получателей услуг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) и принятие по ним своевременных решений;</w:t>
      </w:r>
      <w:proofErr w:type="gramEnd"/>
    </w:p>
    <w:p w:rsidR="004C77EE" w:rsidRPr="004A4392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твление пультовой охраны путём </w:t>
      </w:r>
      <w:r>
        <w:rPr>
          <w:rFonts w:ascii="Times New Roman" w:hAnsi="Times New Roman" w:cs="Times New Roman"/>
          <w:sz w:val="24"/>
          <w:szCs w:val="24"/>
        </w:rPr>
        <w:t>централизованного наблюдения</w:t>
      </w:r>
      <w:r w:rsidRPr="004A4392">
        <w:rPr>
          <w:rFonts w:ascii="Times New Roman" w:hAnsi="Times New Roman" w:cs="Times New Roman"/>
          <w:sz w:val="24"/>
          <w:szCs w:val="24"/>
        </w:rPr>
        <w:t xml:space="preserve"> за состоянием средств тревожной сигнализации</w:t>
      </w:r>
      <w:r w:rsidRPr="004A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(охране имущества путем оперативного реагирования на сообщение тревожной сигнализации (КТС)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экстренным выездом на Объект охраны мобильной группы (далее – ГБР)</w:t>
      </w:r>
      <w:proofErr w:type="gramEnd"/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организация работы по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осуществлению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учета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посетителей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, регистрации и хранения, при осуществлении пропускного режима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обработку персональных данных в соответствии с Федеральным законом от 27.07.2006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152-ФЗ «О персональных данных»;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осуществление пропускного режима работников Отделения, посетителей, транспортных средств и грузов на контролируемую территорию с целью установления личности и учета посетителей, вноса, выноса,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EC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 обеспечение безопасного режима работы находящихся в здании Отделения работников</w:t>
      </w:r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 служебных помещений, закрепленных за Отделением  на праве оперативного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управления, прилегающей к зданию Отделения</w:t>
      </w:r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осуществление охраны режимных помещений Заказчика с использованием технических средств охраны с принятием соответствующих мер реагирования на их сигнальную информацию;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своевременное оповещение руководства и работников Отделения при объявлении военного положения и возникновении других чрезвычайных ситуаций, а также при получении срочной информации;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эвакуации работников Отделения  и доступа специальных служб при возникновении пожара или других чрезвычайных ситуаций;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обеспечение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прибытия на Объект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групп быстрого реагировани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ГБР)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с Объекта охраны сигнальной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(сигнал кнопки тревожной сигнализации(КТС), и при возникновении на Объекте охраны чрезвычайных ситуаций;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мониторинг состояния закрепленных за Отделением  на праве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оперативного управления служебных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помещений, прилегающей к Отделению территории, с целью выработки рекомендаций руководству Отделения о необходимости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овершенствования системы охраны:</w:t>
      </w:r>
    </w:p>
    <w:p w:rsidR="004C77EE" w:rsidRPr="00211872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1187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proofErr w:type="gramStart"/>
      <w:r w:rsidRPr="0021187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21187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состоянием закрепленных за Отделением на праве оперативного управления служебных помещений, прилегающей к территории Отделения, а также автотранспорта на служебной стоянке и правильности их парковки;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выездом и возвращением а</w:t>
      </w:r>
      <w:r>
        <w:rPr>
          <w:rFonts w:ascii="Times New Roman" w:hAnsi="Times New Roman" w:cs="Times New Roman"/>
          <w:sz w:val="24"/>
          <w:szCs w:val="24"/>
          <w:lang w:eastAsia="ru-RU"/>
        </w:rPr>
        <w:t>втотранспорта;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информирование руководства Заказчика об</w:t>
      </w:r>
      <w:r>
        <w:rPr>
          <w:rFonts w:ascii="Times New Roman" w:hAnsi="Times New Roman" w:cs="Times New Roman"/>
          <w:sz w:val="24"/>
          <w:szCs w:val="24"/>
          <w:lang w:eastAsia="ru-RU"/>
        </w:rPr>
        <w:t>о всех недостатках и замечаниях;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992">
        <w:rPr>
          <w:rFonts w:ascii="Times New Roman" w:hAnsi="Times New Roman" w:cs="Times New Roman"/>
          <w:sz w:val="24"/>
          <w:szCs w:val="24"/>
          <w:lang w:eastAsia="ru-RU"/>
        </w:rPr>
        <w:t>- хранение, выдача ключей от служебных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помещений, включая режимные и ведение журналов</w:t>
      </w:r>
      <w:r w:rsidRPr="00B71992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ключей.</w:t>
      </w:r>
    </w:p>
    <w:p w:rsidR="004C77EE" w:rsidRPr="00B71992" w:rsidRDefault="004C77EE" w:rsidP="004C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Охрана Объекта осуществляется во взаимодействии с правоохранительными и административными органами, а также аварийными службами г. Астрахани, в зоне ответственности, которых, располагается Объект охраны. 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Взаимодействие с конкретными подразделениями организует руководство охранного предприятия.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Вопросы, выходящие за пределы обязанностей Исполнителя, подлежат согласованию Исполнителем с Заказчиком.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При оказании услуг по охране Объекта, сотрудники Исполнителя руководствуются следующими нормативными актами и документами: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- Законом РФ от 11.03.1992 № 2487-1 «О частной детективной и охранной деятельности в Российской Федерации»;</w:t>
      </w:r>
    </w:p>
    <w:p w:rsidR="004C77EE" w:rsidRPr="005E68E3" w:rsidRDefault="004C77EE" w:rsidP="004C77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- Федеральным законом от 13.12.1996  № 150-ФЗ «Об оружии»; </w:t>
      </w:r>
    </w:p>
    <w:p w:rsidR="004C77EE" w:rsidRPr="005E68E3" w:rsidRDefault="004C77EE" w:rsidP="004C77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- уставом охранного предприятия. 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Кроме этого при оказании услуг по охране Объекта сотрудники Исполнителя руководствуются распоряжениями руководителя охранного предприятия, его заместителя, начальника ох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раны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, руководства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Привлечение сотрудников Исполнителя к оказанию услуг, не связанных с выполнением ими своих должностных обязанностей, не допускается.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охраны при нештатных ситуациях</w:t>
      </w:r>
    </w:p>
    <w:p w:rsidR="004C77EE" w:rsidRPr="006B5509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Кнопка тревожной сигнализации (далее КТС) предназначена для оперативного реагирования (вмешательства) охранного предприятия при возникновении внештатных ситуаций, представляющих угрозу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нарушения обычного режима работы сотрудников, получа</w:t>
      </w:r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телей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услуг</w:t>
      </w:r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охраняемого Объекта, при причинении или угрозе  причинения ущерба имуществу, а также при любых противоправных действиях любых лиц, создающих препятствия нормальному функционированию Объекта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Принятие соответствующих мер реагирования на сигнальную информацию, полученную с Объекта охраны и на события, возникающие на Объекте охраны при чрезвычайных ситуациях.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Принимать меры по задержанию лиц, совершивших противоправное действие и посягательство на сотрудников, посетителей и охраняемый Объект с незамедлительной передачей их в органы правопорядка.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Вызвать представителей правоохранительных органов и до их прибытия обеспечить охрану места происшествия. </w:t>
      </w:r>
    </w:p>
    <w:p w:rsidR="004C77EE" w:rsidRPr="006B5509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случае возникновения на Объекте охраны чрезвычайных ситуаций, т.е. обстоятельств, в результате которых возникает угроза (либо появляется возможность р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еальной угрозы) жизни работникам и получателям услуг</w:t>
      </w:r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 значительных материальных потерь (вооруженного или группового нападения на охраняемое имущество Заказчика), а также при получении с Объекта охраны «тревожной» сигнальной информации (КТС), Исполнитель обеспечивает прибытие на Объект группы быстрого реагирования (далее - ГБР) в составе</w:t>
      </w:r>
      <w:proofErr w:type="gramEnd"/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не менее трех человек, вооруженных служебным огнестрельным оружием (из расчета одна единица оружия на каждого сотрудника охран</w:t>
      </w:r>
      <w:proofErr w:type="gramStart"/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ГБР</w:t>
      </w:r>
      <w:r w:rsidRPr="006B55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). </w:t>
      </w:r>
    </w:p>
    <w:p w:rsidR="004C77EE" w:rsidRPr="0091637B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91637B">
        <w:rPr>
          <w:rFonts w:ascii="Times New Roman" w:hAnsi="Times New Roman" w:cs="Times New Roman"/>
          <w:b/>
          <w:sz w:val="24"/>
          <w:szCs w:val="24"/>
          <w:lang w:eastAsia="ru-RU"/>
        </w:rPr>
        <w:t>Время прибытия на Объект ГБР с места её постоянной дислокации (ме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 стоянки наряда)  не более 5</w:t>
      </w:r>
      <w:r w:rsidRPr="009163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минут.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При угрозе совершения террористических актов для своевременного и адекватного реагирования на возникающие террористические угрозы и предупреждения совершения террористических актов осуществляются мероприятия предусматривающие принятие дополнительных мер по обеспечению безопасности Объекта охраны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br/>
        <w:t>(п.20-22 раздела   IV.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информирования об угрозе совершения террористического акта на объектах (территориях) или о его совершении) постановления Правительства Российской Федерации от 13 мая 2016 г. № 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социальной защиты Российской Федерации, и формы паспорта безопасности этих объектов (территорий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)" </w:t>
      </w:r>
      <w:r>
        <w:rPr>
          <w:rFonts w:ascii="Times New Roman" w:hAnsi="Times New Roman" w:cs="Times New Roman"/>
          <w:sz w:val="24"/>
          <w:szCs w:val="24"/>
          <w:lang w:eastAsia="ru-RU"/>
        </w:rPr>
        <w:t>с изменениями и дополнениями от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7 февраля 2018 г.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77EE" w:rsidRDefault="004C77EE" w:rsidP="004C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силение внутри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объектового и пропускного режимов на Объекте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охраны при введении режима антитеррористической угрозы</w:t>
      </w:r>
    </w:p>
    <w:p w:rsidR="004C77EE" w:rsidRPr="00B71992" w:rsidRDefault="004C77EE" w:rsidP="004C77EE">
      <w:pPr>
        <w:pStyle w:val="a3"/>
        <w:shd w:val="clear" w:color="auto" w:fill="FFFFFF"/>
        <w:spacing w:before="0" w:beforeAutospacing="0" w:after="0"/>
        <w:ind w:right="-284"/>
        <w:jc w:val="both"/>
        <w:rPr>
          <w:b/>
        </w:rPr>
      </w:pPr>
      <w:r w:rsidRPr="00DC7B64">
        <w:rPr>
          <w:b/>
        </w:rPr>
        <w:t>К выполнению обязанностей по охране объекта не</w:t>
      </w:r>
      <w:r>
        <w:rPr>
          <w:b/>
        </w:rPr>
        <w:t xml:space="preserve"> допускаются охранники-стажёры.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вооружение сотрудников охраны на постах служебным огнестрельным оружием (Постановление Правительства РФ от 14.08.1992 № 587 (ред. от 25.07.2017) «Вопросы частной детективной (сыскной) и частной охранной деятельности» Приложение № 3);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прибытие для усиления на Объект ох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раны ГБР в составе не менее трё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х человек, вооруженных служебным оружием;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обеспечение при необходимости эвакуации с Объекта работников Отделения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получателей услуг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77EE" w:rsidRPr="00C934F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Окончание действия принятых дополнительных мер по усилению охраны определяется Заказчиком, по нор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мализации обстановки на объекте и отмены режима антитеррористической угрозы.</w:t>
      </w:r>
    </w:p>
    <w:p w:rsidR="004C77EE" w:rsidRPr="00743765" w:rsidRDefault="004C77EE" w:rsidP="004C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Режим охраны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Основная задача сотрудника охраны - охрана Объекта, а также обеспечение правопорядка на территории Объекта охраны. Выполнение данной задачи достигается путем поддержания установленного режима охраны Объектов.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Режим охраны включает в себя: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организацию и осуществление пропускного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внутри объектового  режимов  в здании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на Объект охраны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предот</w:t>
      </w:r>
      <w:r>
        <w:rPr>
          <w:rFonts w:ascii="Times New Roman" w:hAnsi="Times New Roman" w:cs="Times New Roman"/>
          <w:sz w:val="24"/>
          <w:szCs w:val="24"/>
          <w:lang w:eastAsia="ru-RU"/>
        </w:rPr>
        <w:t>вращение несанкционированного в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носа (выноса) материальных средств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из) здания Объекта;</w:t>
      </w:r>
    </w:p>
    <w:p w:rsidR="004C77EE" w:rsidRPr="006B5509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50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охрану</w:t>
      </w:r>
      <w:r w:rsidRPr="006B5509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Pr="00D820DF">
        <w:rPr>
          <w:rFonts w:ascii="Times New Roman" w:hAnsi="Times New Roman" w:cs="Times New Roman"/>
          <w:sz w:val="26"/>
          <w:szCs w:val="26"/>
          <w:lang w:eastAsia="ru-RU"/>
        </w:rPr>
        <w:t>(обеспечение безопасного режима работы)</w:t>
      </w:r>
      <w:r w:rsidRPr="001768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B5509">
        <w:rPr>
          <w:rFonts w:ascii="Times New Roman" w:hAnsi="Times New Roman" w:cs="Times New Roman"/>
          <w:sz w:val="24"/>
          <w:szCs w:val="24"/>
          <w:lang w:eastAsia="ru-RU"/>
        </w:rPr>
        <w:t>Отделения, находящихся в служебных помещениях Отделения;</w:t>
      </w:r>
    </w:p>
    <w:p w:rsidR="004C77EE" w:rsidRPr="00D037E9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037E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 предотвращение вноса в здание Отделения взрывоопасных, отравляющих и химических веществ,</w:t>
      </w:r>
    </w:p>
    <w:p w:rsidR="004C77EE" w:rsidRPr="00D037E9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037E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а также предметов, представляющих потенциальную угр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озу здоровью и жизни сотрудникам</w:t>
      </w:r>
      <w:r w:rsidRPr="00D037E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и получателям услуг; 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сохранение служебной информации, ставшей известной в процессе несения дежурства;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соблюдение конфиденциальности при хранении видеоматериалов Отделения;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взаимодействие с правоохранительными органами по вопросам обеспечения правопорядка и борьбы с преступностью на прилегающей к зданию Отделения территории;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контроль соблюдения правил пожарной безопасности в здании Отделения;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 за инженерно-коммуникационными системами, знание мест и способов аварийного  отключени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перекрытия) инженерных коммуникаций; 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работой средств охранно-пожарной сигнализации и системы видео наблюдения, контроля доступа в здание Отделения,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выхода из строя,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вызов рабо</w:t>
      </w:r>
      <w:r>
        <w:rPr>
          <w:rFonts w:ascii="Times New Roman" w:hAnsi="Times New Roman" w:cs="Times New Roman"/>
          <w:sz w:val="24"/>
          <w:szCs w:val="24"/>
          <w:lang w:eastAsia="ru-RU"/>
        </w:rPr>
        <w:t>тников соответствующих технических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(обслуживающих компаний);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навыки по использованию системы контроля доступа в здание Отделения и системы видеонаблюдения;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ежедневный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сохранностью автотранспорта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функционированием источников бесперебойного питания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ОПС и КТС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выполнение функций Дежурно-диспетче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ской службы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(ДДС)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 приёму и передачи информации по поручению руководства Заказчика; 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прием оперативной информации из Центрального Аппарата Фонда социального страхования Российской Федерации, ГУ-региональных отделений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системы оповещения ГО и ЧС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 нерабочее время и доклад о ней соответствующим руководителям Отделения;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периодический обход и осмотр служебных помещений здания Отделения и прилегающей к нему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 дневное время 1 раз в два часа, в ночное время не реже одного раза в час)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оповещение работников Отделения по громкоговорящей связи в экстренных случаях;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изучение и обобщение оперативной антитеррористической обстановки на прилегающей к зданию Отделения территории и принятие мер предупреждения;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направление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посетителей по интересующим их вопросам к работникам Отделения.</w:t>
      </w:r>
    </w:p>
    <w:p w:rsidR="004C77EE" w:rsidRDefault="004C77EE" w:rsidP="004C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Обязательные условия: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Сотрудники охраны должны зн</w:t>
      </w:r>
      <w:r w:rsidRPr="00DC3575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действий и уметь практически действовать  при возникновении чрезвычайных ситуаций на объекте охран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шение террористического акта на объекте охраны (взрыв, поджог и т. п.), знать порядок задержания правонарушителей и передачи их правоохранительным органам.</w:t>
      </w:r>
    </w:p>
    <w:p w:rsidR="004C77EE" w:rsidRPr="00DC3575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Знать 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при получении телесных повреждений. Знать порядок направления пострадавших в лечебные учреждения.  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наличие однообразной формы одежды персонала охраны (для всех сотрудников охраны форма должна быть одинаковой) – деловой темный однотонный костюм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(брюки, пиджак), белая рубашка, чёрный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галстук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тёплое время год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температура воздуха выше 25 гр. С) брюки, белая рубашка с коротким рукавом без галстука)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тёмная однотонная обувь,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допустимо ношение отличительных зна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 охранного предприятия (организации) (эмблема ЧОО, ЧОП,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йдж</w:t>
      </w:r>
      <w:proofErr w:type="spell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присутствие начальника охраны в здании Отделения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на Объекте охраны) при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приёме-сдачи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смены; </w:t>
      </w:r>
    </w:p>
    <w:p w:rsidR="004C77EE" w:rsidRPr="00C5099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32358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- иметь (за счёт Исполнителя) средства индивидуальной защиты органов дыхания и зрения (используются при пожаре), соответствие которых требованиям пожарной безопасности подтверждено сертификатом соответствия (ст. 145,146 ФЗ . № 123  от 22.07.2008 г. «Технический регламент о требованиях пожарной безопасности» в действующей редакции);</w:t>
      </w:r>
    </w:p>
    <w:p w:rsidR="004C77EE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Н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аличие мобильной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(ГБР)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оказание услуг  осуществляется с использованием сертифицированного служебного огнестрельного оружия отечественного производства (Постановление Правительства РФ от 14.08.1992 № 587 (ред. от 25.07.2017) "Вопросы частной детективной (сыскной) и частной охранной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" Приложение №3);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специальных средств (резиновая палка, наручники, бронежилеты,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защитные шлемы), средств связи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(радиостанции, служе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бные мобильные телефоны, фонарик),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металлодетекторы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C77EE" w:rsidRPr="005E68E3" w:rsidRDefault="004C77EE" w:rsidP="004C77EE">
      <w:pPr>
        <w:pStyle w:val="a3"/>
        <w:shd w:val="clear" w:color="auto" w:fill="FFFFFF"/>
        <w:spacing w:before="0" w:beforeAutospacing="0" w:after="0"/>
        <w:ind w:right="-301"/>
        <w:jc w:val="both"/>
      </w:pPr>
      <w:r w:rsidRPr="005E68E3">
        <w:t xml:space="preserve"> </w:t>
      </w:r>
      <w:r>
        <w:t xml:space="preserve">       </w:t>
      </w:r>
      <w:r w:rsidRPr="005E68E3">
        <w:t>Выполнение, при необходимости, разовых поручений руководства Отделения.</w:t>
      </w:r>
    </w:p>
    <w:p w:rsidR="004C77EE" w:rsidRPr="005E68E3" w:rsidRDefault="004C77EE" w:rsidP="004C77EE">
      <w:pPr>
        <w:pStyle w:val="a3"/>
        <w:shd w:val="clear" w:color="auto" w:fill="FFFFFF"/>
        <w:spacing w:before="0" w:beforeAutospacing="0" w:after="0"/>
        <w:ind w:right="-301"/>
        <w:jc w:val="both"/>
      </w:pPr>
      <w:r>
        <w:t xml:space="preserve">       </w:t>
      </w:r>
      <w:r w:rsidRPr="005E68E3">
        <w:t xml:space="preserve"> При получении сигнала</w:t>
      </w:r>
      <w:r>
        <w:t xml:space="preserve"> от системы оповещения</w:t>
      </w:r>
      <w:r w:rsidRPr="005E68E3">
        <w:t xml:space="preserve"> ГО и ЧС в установленном поря</w:t>
      </w:r>
      <w:r>
        <w:t xml:space="preserve">дке, дежурная смена организует </w:t>
      </w:r>
      <w:r w:rsidRPr="005E68E3">
        <w:t xml:space="preserve">оповещение управляющего, его заместителей и ответственного по ГО, </w:t>
      </w:r>
      <w:proofErr w:type="gramStart"/>
      <w:r w:rsidRPr="005E68E3">
        <w:t>согласно схемы</w:t>
      </w:r>
      <w:proofErr w:type="gramEnd"/>
      <w:r w:rsidRPr="005E68E3">
        <w:t xml:space="preserve"> оповещения с использованием телефонной связи.</w:t>
      </w:r>
    </w:p>
    <w:p w:rsidR="004C77EE" w:rsidRPr="005E68E3" w:rsidRDefault="004C77EE" w:rsidP="004C77EE">
      <w:pPr>
        <w:pStyle w:val="a3"/>
        <w:shd w:val="clear" w:color="auto" w:fill="FFFFFF"/>
        <w:spacing w:before="0" w:beforeAutospacing="0" w:after="0"/>
        <w:ind w:right="-284"/>
        <w:jc w:val="both"/>
      </w:pPr>
      <w:r>
        <w:t xml:space="preserve">        </w:t>
      </w:r>
      <w:r w:rsidRPr="005E68E3">
        <w:t xml:space="preserve"> Все инструкции и документация для работы постов охраны предоставляются после заключения государственного контракта.</w:t>
      </w:r>
    </w:p>
    <w:p w:rsidR="004C77EE" w:rsidRPr="00F81881" w:rsidRDefault="004C77EE" w:rsidP="004C77EE">
      <w:pPr>
        <w:pStyle w:val="a3"/>
        <w:shd w:val="clear" w:color="auto" w:fill="FFFFFF"/>
        <w:spacing w:before="0" w:beforeAutospacing="0" w:after="0"/>
        <w:ind w:right="-17"/>
        <w:jc w:val="both"/>
        <w:rPr>
          <w:b/>
        </w:rPr>
      </w:pPr>
      <w:r w:rsidRPr="005E68E3">
        <w:t xml:space="preserve"> </w:t>
      </w:r>
      <w:r>
        <w:t xml:space="preserve">       </w:t>
      </w:r>
      <w:r w:rsidRPr="00F81881">
        <w:rPr>
          <w:b/>
        </w:rPr>
        <w:t>Для успешного выполнения работ Исполнитель должен иметь:</w:t>
      </w:r>
    </w:p>
    <w:p w:rsidR="004C77EE" w:rsidRPr="005E68E3" w:rsidRDefault="004C77EE" w:rsidP="004C77EE">
      <w:pPr>
        <w:pStyle w:val="a3"/>
        <w:shd w:val="clear" w:color="auto" w:fill="FFFFFF"/>
        <w:spacing w:before="0" w:beforeAutospacing="0" w:after="0"/>
        <w:ind w:right="-301"/>
        <w:jc w:val="both"/>
      </w:pPr>
      <w:r w:rsidRPr="005E68E3">
        <w:t>- лицензию частной охранной организации на осуществление негосударственной (частной)</w:t>
      </w:r>
    </w:p>
    <w:p w:rsidR="004C77EE" w:rsidRPr="005E68E3" w:rsidRDefault="004C77EE" w:rsidP="004C77EE">
      <w:pPr>
        <w:pStyle w:val="a3"/>
        <w:shd w:val="clear" w:color="auto" w:fill="FFFFFF"/>
        <w:spacing w:before="0" w:beforeAutospacing="0" w:after="0"/>
        <w:ind w:right="-301"/>
        <w:jc w:val="both"/>
      </w:pPr>
      <w:r w:rsidRPr="005E68E3">
        <w:t>охранной деятельности;</w:t>
      </w:r>
    </w:p>
    <w:p w:rsidR="004C77EE" w:rsidRPr="005E68E3" w:rsidRDefault="004C77EE" w:rsidP="004C77EE">
      <w:pPr>
        <w:pStyle w:val="a3"/>
        <w:shd w:val="clear" w:color="auto" w:fill="FFFFFF"/>
        <w:spacing w:before="0" w:beforeAutospacing="0" w:after="0"/>
        <w:ind w:right="-17"/>
        <w:jc w:val="both"/>
      </w:pPr>
      <w:r w:rsidRPr="005E68E3">
        <w:t>- удостоверение частного охранника о присвоении квалификации, не ниже 6 разряда на руководителя частной охранной организации;</w:t>
      </w:r>
    </w:p>
    <w:p w:rsidR="004C77EE" w:rsidRDefault="004C77EE" w:rsidP="004C77EE">
      <w:pPr>
        <w:pStyle w:val="a3"/>
        <w:shd w:val="clear" w:color="auto" w:fill="FFFFFF"/>
        <w:spacing w:before="0" w:beforeAutospacing="0" w:after="0"/>
        <w:ind w:right="-17"/>
        <w:jc w:val="both"/>
        <w:rPr>
          <w:shd w:val="clear" w:color="auto" w:fill="FFFFFF"/>
        </w:rPr>
      </w:pPr>
      <w:r w:rsidRPr="005E68E3">
        <w:t>-  наличие 7-го пункта в лицензии на осуществление негосударственной (частной) охранной деятельности</w:t>
      </w:r>
      <w:r w:rsidRPr="005E68E3">
        <w:rPr>
          <w:shd w:val="clear" w:color="auto" w:fill="FFFFFF"/>
        </w:rPr>
        <w:t>.</w:t>
      </w:r>
    </w:p>
    <w:p w:rsidR="004C77EE" w:rsidRPr="00F81881" w:rsidRDefault="004C77EE" w:rsidP="004C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68E3">
        <w:rPr>
          <w:rFonts w:ascii="Times New Roman" w:hAnsi="Times New Roman" w:cs="Times New Roman"/>
          <w:b/>
          <w:sz w:val="24"/>
          <w:szCs w:val="24"/>
        </w:rPr>
        <w:t>Исполнитель устанавл</w:t>
      </w:r>
      <w:r>
        <w:rPr>
          <w:rFonts w:ascii="Times New Roman" w:hAnsi="Times New Roman" w:cs="Times New Roman"/>
          <w:b/>
          <w:sz w:val="24"/>
          <w:szCs w:val="24"/>
        </w:rPr>
        <w:t>ивает  свои средства охранно-</w:t>
      </w:r>
      <w:r w:rsidRPr="005E68E3">
        <w:rPr>
          <w:rFonts w:ascii="Times New Roman" w:hAnsi="Times New Roman" w:cs="Times New Roman"/>
          <w:b/>
          <w:sz w:val="24"/>
          <w:szCs w:val="24"/>
        </w:rPr>
        <w:t>тревожной сигнализации (КТС</w:t>
      </w:r>
      <w:r>
        <w:rPr>
          <w:rFonts w:ascii="Times New Roman" w:hAnsi="Times New Roman" w:cs="Times New Roman"/>
          <w:b/>
          <w:sz w:val="24"/>
          <w:szCs w:val="24"/>
        </w:rPr>
        <w:t>) на период действия контракта.</w:t>
      </w:r>
    </w:p>
    <w:p w:rsidR="004C77EE" w:rsidRDefault="004C77EE" w:rsidP="004C77EE">
      <w:pPr>
        <w:spacing w:after="0" w:line="240" w:lineRule="auto"/>
        <w:ind w:left="62"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и поддержание в рабочем состоянии</w:t>
      </w:r>
      <w:r w:rsidRPr="005E68E3">
        <w:rPr>
          <w:rFonts w:ascii="Times New Roman" w:hAnsi="Times New Roman" w:cs="Times New Roman"/>
          <w:sz w:val="24"/>
          <w:szCs w:val="24"/>
        </w:rPr>
        <w:t xml:space="preserve"> средств сигнализаци</w:t>
      </w:r>
      <w:proofErr w:type="gramStart"/>
      <w:r w:rsidRPr="005E68E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E68E3">
        <w:rPr>
          <w:rFonts w:ascii="Times New Roman" w:hAnsi="Times New Roman" w:cs="Times New Roman"/>
          <w:sz w:val="24"/>
          <w:szCs w:val="24"/>
        </w:rPr>
        <w:t>КТС) на об</w:t>
      </w:r>
      <w:r>
        <w:rPr>
          <w:rFonts w:ascii="Times New Roman" w:hAnsi="Times New Roman" w:cs="Times New Roman"/>
          <w:sz w:val="24"/>
          <w:szCs w:val="24"/>
        </w:rPr>
        <w:t>ъекте производится Исполнителем;</w:t>
      </w:r>
      <w:r w:rsidRPr="005E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EE" w:rsidRPr="005E68E3" w:rsidRDefault="004C77EE" w:rsidP="004C77EE">
      <w:pPr>
        <w:spacing w:after="0" w:line="240" w:lineRule="auto"/>
        <w:ind w:left="62"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5E68E3">
        <w:rPr>
          <w:rFonts w:ascii="Times New Roman" w:hAnsi="Times New Roman" w:cs="Times New Roman"/>
          <w:sz w:val="24"/>
          <w:szCs w:val="24"/>
        </w:rPr>
        <w:t>Ответственность за исправность технических средств с</w:t>
      </w:r>
      <w:r>
        <w:rPr>
          <w:rFonts w:ascii="Times New Roman" w:hAnsi="Times New Roman" w:cs="Times New Roman"/>
          <w:sz w:val="24"/>
          <w:szCs w:val="24"/>
        </w:rPr>
        <w:t>игнализации (КТС),</w:t>
      </w:r>
      <w:r w:rsidRPr="005E68E3">
        <w:rPr>
          <w:rFonts w:ascii="Times New Roman" w:hAnsi="Times New Roman" w:cs="Times New Roman"/>
          <w:sz w:val="24"/>
          <w:szCs w:val="24"/>
        </w:rPr>
        <w:t xml:space="preserve"> на объекте, несет Исполнитель.</w:t>
      </w:r>
    </w:p>
    <w:p w:rsidR="004C77EE" w:rsidRPr="005E68E3" w:rsidRDefault="004C77EE" w:rsidP="004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ежедневная </w:t>
      </w:r>
      <w:r w:rsidRPr="005E68E3">
        <w:rPr>
          <w:rFonts w:ascii="Times New Roman" w:hAnsi="Times New Roman" w:cs="Times New Roman"/>
          <w:sz w:val="24"/>
          <w:szCs w:val="24"/>
        </w:rPr>
        <w:t>проверка работоспособности оборудования согласно Инструкции о порядке пользования техническими средствами охран</w:t>
      </w:r>
      <w:proofErr w:type="gramStart"/>
      <w:r w:rsidRPr="005E68E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E68E3">
        <w:rPr>
          <w:rFonts w:ascii="Times New Roman" w:hAnsi="Times New Roman" w:cs="Times New Roman"/>
          <w:sz w:val="24"/>
          <w:szCs w:val="24"/>
        </w:rPr>
        <w:t>КТС);</w:t>
      </w:r>
    </w:p>
    <w:p w:rsidR="004C77EE" w:rsidRPr="005E68E3" w:rsidRDefault="004C77EE" w:rsidP="004C77EE">
      <w:pPr>
        <w:spacing w:after="0"/>
        <w:ind w:left="62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 xml:space="preserve">-  поддержание положительного баланса на </w:t>
      </w:r>
      <w:proofErr w:type="spellStart"/>
      <w:r w:rsidRPr="005E68E3">
        <w:rPr>
          <w:rFonts w:ascii="Times New Roman" w:hAnsi="Times New Roman" w:cs="Times New Roman"/>
          <w:sz w:val="24"/>
          <w:szCs w:val="24"/>
        </w:rPr>
        <w:t>симкарте</w:t>
      </w:r>
      <w:proofErr w:type="spellEnd"/>
      <w:r w:rsidRPr="005E68E3">
        <w:rPr>
          <w:rFonts w:ascii="Times New Roman" w:hAnsi="Times New Roman" w:cs="Times New Roman"/>
          <w:sz w:val="24"/>
          <w:szCs w:val="24"/>
        </w:rPr>
        <w:t xml:space="preserve"> КТС;</w:t>
      </w:r>
    </w:p>
    <w:p w:rsidR="004C77EE" w:rsidRPr="005E68E3" w:rsidRDefault="004C77EE" w:rsidP="004C77EE">
      <w:pPr>
        <w:spacing w:after="0"/>
        <w:ind w:right="-40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 xml:space="preserve">- Заказчик не должен нести дополнительных затрат в связи со сменой Исполнителя услуги. </w:t>
      </w:r>
    </w:p>
    <w:p w:rsidR="004C77EE" w:rsidRDefault="004C77EE" w:rsidP="004C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Вся переписка между Исполнителем и Заказчиком должна осуществляться в официальном порядке (на бланках организаций, с подписями уполномоченн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лиц и печатями (при наличии)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факсимильной и электронной почтой.</w:t>
      </w:r>
      <w:proofErr w:type="gramEnd"/>
    </w:p>
    <w:p w:rsidR="004C77EE" w:rsidRDefault="004C77EE" w:rsidP="004C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Заказчик осуществляет контроль соответствия качества оказываемых Исполнителем услуг требованиям настоящего Технического задания и условиям Государственного контракта путём проведения плановых, внеплановых и скрытых проверок. Для осуществления такого контроля Заказчик вправе привлекать независимых экспертов.</w:t>
      </w:r>
    </w:p>
    <w:p w:rsidR="004C77EE" w:rsidRDefault="004C77EE" w:rsidP="004C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7F9" w:rsidRDefault="004C77EE" w:rsidP="004C77EE"/>
    <w:sectPr w:rsidR="003A07F9" w:rsidSect="004C77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46A"/>
    <w:multiLevelType w:val="hybridMultilevel"/>
    <w:tmpl w:val="B66E43C4"/>
    <w:lvl w:ilvl="0" w:tplc="6020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C0"/>
    <w:rsid w:val="004C77EE"/>
    <w:rsid w:val="00AD3773"/>
    <w:rsid w:val="00C27313"/>
    <w:rsid w:val="00E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3303</Words>
  <Characters>18833</Characters>
  <Application>Microsoft Office Word</Application>
  <DocSecurity>0</DocSecurity>
  <Lines>156</Lines>
  <Paragraphs>44</Paragraphs>
  <ScaleCrop>false</ScaleCrop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2</cp:revision>
  <dcterms:created xsi:type="dcterms:W3CDTF">2022-09-15T11:47:00Z</dcterms:created>
  <dcterms:modified xsi:type="dcterms:W3CDTF">2022-09-15T11:52:00Z</dcterms:modified>
</cp:coreProperties>
</file>