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69" w:rsidRDefault="00727C69" w:rsidP="00727C69">
      <w:pPr>
        <w:keepNext/>
        <w:widowControl w:val="0"/>
        <w:tabs>
          <w:tab w:val="left" w:pos="142"/>
          <w:tab w:val="left" w:pos="180"/>
        </w:tabs>
        <w:autoSpaceDE w:val="0"/>
        <w:spacing w:after="0" w:line="240" w:lineRule="auto"/>
        <w:ind w:firstLine="851"/>
        <w:jc w:val="right"/>
        <w:rPr>
          <w:rFonts w:ascii="Times New Roman" w:eastAsia="Times New Roman" w:hAnsi="Times New Roman" w:cs="Times New Roman"/>
          <w:b/>
          <w:sz w:val="28"/>
          <w:szCs w:val="28"/>
          <w:lang w:eastAsia="ru-RU"/>
        </w:rPr>
      </w:pPr>
      <w:r w:rsidRPr="00396C9C">
        <w:rPr>
          <w:rFonts w:ascii="Times New Roman" w:eastAsia="Lucida Sans Unicode" w:hAnsi="Times New Roman"/>
          <w:b/>
          <w:kern w:val="1"/>
          <w:sz w:val="24"/>
          <w:szCs w:val="24"/>
          <w:lang w:eastAsia="ar-SA"/>
        </w:rPr>
        <w:t>Приложение №1 к Извещению</w:t>
      </w:r>
    </w:p>
    <w:p w:rsidR="000444EB" w:rsidRPr="000444EB" w:rsidRDefault="000444EB" w:rsidP="000444EB">
      <w:pPr>
        <w:keepNext/>
        <w:widowControl w:val="0"/>
        <w:tabs>
          <w:tab w:val="left" w:pos="142"/>
          <w:tab w:val="left" w:pos="180"/>
        </w:tabs>
        <w:autoSpaceDE w:val="0"/>
        <w:spacing w:after="0" w:line="240" w:lineRule="auto"/>
        <w:ind w:firstLine="851"/>
        <w:jc w:val="center"/>
        <w:rPr>
          <w:rFonts w:ascii="Times New Roman" w:eastAsia="Times New Roman" w:hAnsi="Times New Roman" w:cs="Times New Roman"/>
          <w:b/>
          <w:sz w:val="28"/>
          <w:szCs w:val="28"/>
          <w:lang w:eastAsia="ru-RU"/>
        </w:rPr>
      </w:pPr>
      <w:r w:rsidRPr="000444EB">
        <w:rPr>
          <w:rFonts w:ascii="Times New Roman" w:eastAsia="Times New Roman" w:hAnsi="Times New Roman" w:cs="Times New Roman"/>
          <w:b/>
          <w:sz w:val="28"/>
          <w:szCs w:val="28"/>
          <w:lang w:eastAsia="ru-RU"/>
        </w:rPr>
        <w:t>Описание объекта закупки</w:t>
      </w:r>
    </w:p>
    <w:p w:rsidR="000444EB" w:rsidRPr="000444EB" w:rsidRDefault="000444EB" w:rsidP="000444EB">
      <w:pPr>
        <w:spacing w:after="0" w:line="360" w:lineRule="exact"/>
        <w:jc w:val="center"/>
        <w:rPr>
          <w:rFonts w:ascii="Times New Roman" w:eastAsia="Times New Roman" w:hAnsi="Times New Roman" w:cs="Times New Roman"/>
          <w:bCs/>
          <w:sz w:val="26"/>
          <w:szCs w:val="26"/>
          <w:lang w:eastAsia="ru-RU"/>
        </w:rPr>
      </w:pPr>
      <w:r w:rsidRPr="000444EB">
        <w:rPr>
          <w:rFonts w:ascii="Times New Roman" w:eastAsia="Times New Roman" w:hAnsi="Times New Roman" w:cs="Times New Roman"/>
          <w:bCs/>
          <w:sz w:val="26"/>
          <w:szCs w:val="26"/>
          <w:lang w:eastAsia="ru-RU"/>
        </w:rPr>
        <w:t xml:space="preserve">на </w:t>
      </w:r>
      <w:r w:rsidR="00727C69" w:rsidRPr="00727C69">
        <w:rPr>
          <w:rFonts w:ascii="Times New Roman" w:eastAsia="Times New Roman" w:hAnsi="Times New Roman" w:cs="Times New Roman"/>
          <w:bCs/>
          <w:sz w:val="26"/>
          <w:szCs w:val="26"/>
          <w:lang w:eastAsia="ru-RU"/>
        </w:rPr>
        <w:t>выполнение работ по изготовлению комплектов функционально-эстетической одежды для инвалидов, в том числе с парной ампутацией верхних конечностей, в целях социального обеспечения граждан</w:t>
      </w:r>
    </w:p>
    <w:tbl>
      <w:tblPr>
        <w:tblpPr w:leftFromText="180" w:rightFromText="180" w:bottomFromText="200" w:vertAnchor="text" w:horzAnchor="margin" w:tblpXSpec="center" w:tblpY="41"/>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28"/>
        <w:gridCol w:w="5485"/>
        <w:gridCol w:w="992"/>
        <w:gridCol w:w="932"/>
      </w:tblGrid>
      <w:tr w:rsidR="000444EB" w:rsidRPr="000444EB" w:rsidTr="00BF3A7D">
        <w:trPr>
          <w:trHeight w:val="334"/>
        </w:trPr>
        <w:tc>
          <w:tcPr>
            <w:tcW w:w="281" w:type="pct"/>
            <w:tcBorders>
              <w:top w:val="single" w:sz="4" w:space="0" w:color="auto"/>
              <w:left w:val="single" w:sz="4" w:space="0" w:color="auto"/>
              <w:bottom w:val="single" w:sz="4" w:space="0" w:color="auto"/>
              <w:right w:val="single" w:sz="4" w:space="0" w:color="auto"/>
            </w:tcBorders>
            <w:hideMark/>
          </w:tcPr>
          <w:p w:rsidR="000444EB" w:rsidRPr="000444EB" w:rsidRDefault="000444EB" w:rsidP="000444EB">
            <w:pPr>
              <w:spacing w:after="0" w:line="276" w:lineRule="auto"/>
              <w:jc w:val="center"/>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 </w:t>
            </w:r>
            <w:proofErr w:type="spellStart"/>
            <w:r w:rsidRPr="000444EB">
              <w:rPr>
                <w:rFonts w:ascii="Times New Roman" w:eastAsia="Times New Roman" w:hAnsi="Times New Roman" w:cs="Times New Roman"/>
                <w:bCs/>
                <w:color w:val="000000"/>
              </w:rPr>
              <w:t>п.п</w:t>
            </w:r>
            <w:proofErr w:type="spellEnd"/>
            <w:r w:rsidRPr="000444EB">
              <w:rPr>
                <w:rFonts w:ascii="Times New Roman" w:eastAsia="Times New Roman" w:hAnsi="Times New Roman" w:cs="Times New Roman"/>
                <w:bCs/>
                <w:color w:val="000000"/>
              </w:rPr>
              <w:t>.</w:t>
            </w:r>
          </w:p>
        </w:tc>
        <w:tc>
          <w:tcPr>
            <w:tcW w:w="1014" w:type="pct"/>
            <w:tcBorders>
              <w:top w:val="single" w:sz="4" w:space="0" w:color="auto"/>
              <w:left w:val="single" w:sz="4" w:space="0" w:color="auto"/>
              <w:bottom w:val="single" w:sz="4" w:space="0" w:color="auto"/>
              <w:right w:val="single" w:sz="4" w:space="0" w:color="auto"/>
            </w:tcBorders>
            <w:vAlign w:val="center"/>
            <w:hideMark/>
          </w:tcPr>
          <w:p w:rsidR="000444EB" w:rsidRPr="000444EB" w:rsidRDefault="000444EB" w:rsidP="000444EB">
            <w:pPr>
              <w:spacing w:after="0" w:line="276" w:lineRule="auto"/>
              <w:jc w:val="center"/>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Наименование </w:t>
            </w:r>
            <w:r w:rsidRPr="000444EB">
              <w:rPr>
                <w:rFonts w:ascii="Times New Roman" w:eastAsia="Times New Roman" w:hAnsi="Times New Roman" w:cs="Times New Roman"/>
              </w:rPr>
              <w:t>Товара (модель, предусмотренная маркировкой)</w:t>
            </w:r>
            <w:r w:rsidRPr="000444EB">
              <w:rPr>
                <w:rFonts w:ascii="Times New Roman" w:eastAsia="Calibri" w:hAnsi="Times New Roman" w:cs="Times New Roman"/>
                <w:color w:val="000000"/>
              </w:rPr>
              <w:t xml:space="preserve"> </w:t>
            </w:r>
          </w:p>
        </w:tc>
        <w:tc>
          <w:tcPr>
            <w:tcW w:w="2743" w:type="pct"/>
            <w:tcBorders>
              <w:top w:val="single" w:sz="4" w:space="0" w:color="auto"/>
              <w:left w:val="single" w:sz="4" w:space="0" w:color="auto"/>
              <w:bottom w:val="single" w:sz="4" w:space="0" w:color="auto"/>
              <w:right w:val="single" w:sz="4" w:space="0" w:color="auto"/>
            </w:tcBorders>
            <w:vAlign w:val="center"/>
            <w:hideMark/>
          </w:tcPr>
          <w:p w:rsidR="000444EB" w:rsidRPr="000444EB" w:rsidRDefault="000444EB" w:rsidP="000444EB">
            <w:pPr>
              <w:spacing w:after="0" w:line="276" w:lineRule="auto"/>
              <w:jc w:val="center"/>
              <w:rPr>
                <w:rFonts w:ascii="Times New Roman" w:eastAsia="Times New Roman" w:hAnsi="Times New Roman" w:cs="Times New Roman"/>
                <w:bCs/>
              </w:rPr>
            </w:pPr>
            <w:r w:rsidRPr="000444EB">
              <w:rPr>
                <w:rFonts w:ascii="Times New Roman" w:eastAsia="Calibri" w:hAnsi="Times New Roman" w:cs="Times New Roman"/>
                <w:color w:val="000000"/>
              </w:rPr>
              <w:t>Технические и (или) функциональные характеристики поставляемого Товара</w:t>
            </w:r>
          </w:p>
        </w:tc>
        <w:tc>
          <w:tcPr>
            <w:tcW w:w="496" w:type="pct"/>
            <w:tcBorders>
              <w:top w:val="single" w:sz="4" w:space="0" w:color="auto"/>
              <w:left w:val="single" w:sz="4" w:space="0" w:color="auto"/>
              <w:bottom w:val="single" w:sz="4" w:space="0" w:color="auto"/>
              <w:right w:val="single" w:sz="4" w:space="0" w:color="auto"/>
            </w:tcBorders>
            <w:hideMark/>
          </w:tcPr>
          <w:p w:rsidR="000444EB" w:rsidRPr="000444EB" w:rsidRDefault="000444EB" w:rsidP="000444EB">
            <w:pPr>
              <w:spacing w:after="0" w:line="276" w:lineRule="auto"/>
              <w:ind w:left="-78" w:right="-107"/>
              <w:jc w:val="center"/>
              <w:rPr>
                <w:rFonts w:ascii="Times New Roman" w:eastAsia="Times New Roman" w:hAnsi="Times New Roman" w:cs="Times New Roman"/>
                <w:bCs/>
              </w:rPr>
            </w:pPr>
            <w:proofErr w:type="spellStart"/>
            <w:r w:rsidRPr="000444EB">
              <w:rPr>
                <w:rFonts w:ascii="Times New Roman" w:eastAsia="Times New Roman" w:hAnsi="Times New Roman" w:cs="Times New Roman"/>
                <w:bCs/>
              </w:rPr>
              <w:t>Ед.изм</w:t>
            </w:r>
            <w:proofErr w:type="spellEnd"/>
            <w:r w:rsidRPr="000444EB">
              <w:rPr>
                <w:rFonts w:ascii="Times New Roman" w:eastAsia="Times New Roman" w:hAnsi="Times New Roman" w:cs="Times New Roman"/>
                <w:bCs/>
              </w:rPr>
              <w:t>.</w:t>
            </w:r>
          </w:p>
        </w:tc>
        <w:tc>
          <w:tcPr>
            <w:tcW w:w="466"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spacing w:after="0" w:line="276" w:lineRule="auto"/>
              <w:ind w:left="-78" w:right="-107"/>
              <w:jc w:val="center"/>
              <w:rPr>
                <w:rFonts w:ascii="Times New Roman" w:eastAsia="Times New Roman" w:hAnsi="Times New Roman" w:cs="Times New Roman"/>
                <w:bCs/>
              </w:rPr>
            </w:pPr>
            <w:r w:rsidRPr="000444EB">
              <w:rPr>
                <w:rFonts w:ascii="Times New Roman" w:eastAsia="Times New Roman" w:hAnsi="Times New Roman" w:cs="Times New Roman"/>
                <w:bCs/>
              </w:rPr>
              <w:t>Кол-во</w:t>
            </w:r>
          </w:p>
          <w:p w:rsidR="000444EB" w:rsidRPr="000444EB" w:rsidRDefault="000444EB" w:rsidP="000444EB">
            <w:pPr>
              <w:spacing w:after="0" w:line="276" w:lineRule="auto"/>
              <w:ind w:left="-78" w:right="886"/>
              <w:jc w:val="center"/>
              <w:rPr>
                <w:rFonts w:ascii="Times New Roman" w:eastAsia="Times New Roman" w:hAnsi="Times New Roman" w:cs="Times New Roman"/>
                <w:bCs/>
              </w:rPr>
            </w:pPr>
          </w:p>
        </w:tc>
      </w:tr>
      <w:tr w:rsidR="000444EB" w:rsidRPr="000444EB" w:rsidTr="00BF3A7D">
        <w:trPr>
          <w:trHeight w:val="334"/>
        </w:trPr>
        <w:tc>
          <w:tcPr>
            <w:tcW w:w="281"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spacing w:after="0" w:line="276" w:lineRule="auto"/>
              <w:jc w:val="center"/>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1.</w:t>
            </w:r>
          </w:p>
        </w:tc>
        <w:tc>
          <w:tcPr>
            <w:tcW w:w="1014"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widowControl w:val="0"/>
              <w:autoSpaceDN w:val="0"/>
              <w:spacing w:after="0" w:line="276" w:lineRule="auto"/>
              <w:jc w:val="center"/>
              <w:textAlignment w:val="baseline"/>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12-01-01</w:t>
            </w:r>
          </w:p>
          <w:p w:rsidR="000444EB" w:rsidRPr="000444EB" w:rsidRDefault="000444EB" w:rsidP="000444EB">
            <w:pPr>
              <w:widowControl w:val="0"/>
              <w:autoSpaceDN w:val="0"/>
              <w:spacing w:after="0" w:line="276" w:lineRule="auto"/>
              <w:jc w:val="center"/>
              <w:textAlignment w:val="baseline"/>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Комплект функционально-эстетической одежды для инвалидов, в том числе с парной ампутацией верхних конечностей</w:t>
            </w:r>
          </w:p>
        </w:tc>
        <w:tc>
          <w:tcPr>
            <w:tcW w:w="2743"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Комплект функционально-эстетической одежды (зимний) изготовлен по индивидуальному техпроцессу модельно-макетным методом.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Комплект одежды изготовлен с учетом индивидуальных анатомо-функциональных особенностей и компенсаторных возможностей инвалида и имеет конструкцию, включающую специальные элементы и функциональные узлы, обеспечивающие действия по самообслуживанию или облегчающие действия обслуживающих лиц.</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Одежда обеспечивает незаметность анатомических особенностей фигуры инвалида для окружающих.</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Требования к материалам: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Материалы, используемые для изготовления одежды, устойчивы к действию растворителей при химчистке и </w:t>
            </w:r>
            <w:proofErr w:type="spellStart"/>
            <w:r w:rsidRPr="000444EB">
              <w:rPr>
                <w:rFonts w:ascii="Times New Roman" w:eastAsia="Times New Roman" w:hAnsi="Times New Roman" w:cs="Times New Roman"/>
                <w:bCs/>
                <w:color w:val="000000"/>
              </w:rPr>
              <w:t>травмобезопасны</w:t>
            </w:r>
            <w:proofErr w:type="spellEnd"/>
            <w:r w:rsidRPr="000444EB">
              <w:rPr>
                <w:rFonts w:ascii="Times New Roman" w:eastAsia="Times New Roman" w:hAnsi="Times New Roman" w:cs="Times New Roman"/>
                <w:bCs/>
                <w:color w:val="000000"/>
              </w:rPr>
              <w:t xml:space="preserve"> при носке.</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Комплект одежды изготовлен из полиэфирных тканей, обеспечивающих ветрозащиту, водонепроницаемость одежды, хорошую вентиляцию, не требующих специального ухода. После стирки изделия полностью сохраняют свои теплозащитные свойства. Использование двух слоев утеплителя позволяет эксплуатировать изделия при температуре воздуха до «-25» градусов Цельсия (включительно). Общий вес зимнего костюма составляет 2 кг.</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Материал верха брюк - полиэфирная </w:t>
            </w:r>
            <w:proofErr w:type="spellStart"/>
            <w:r w:rsidRPr="000444EB">
              <w:rPr>
                <w:rFonts w:ascii="Times New Roman" w:eastAsia="Times New Roman" w:hAnsi="Times New Roman" w:cs="Times New Roman"/>
                <w:bCs/>
                <w:color w:val="000000"/>
              </w:rPr>
              <w:t>влаго</w:t>
            </w:r>
            <w:proofErr w:type="spellEnd"/>
            <w:r w:rsidRPr="000444EB">
              <w:rPr>
                <w:rFonts w:ascii="Times New Roman" w:eastAsia="Times New Roman" w:hAnsi="Times New Roman" w:cs="Times New Roman"/>
                <w:bCs/>
                <w:color w:val="000000"/>
              </w:rPr>
              <w:t>- и ветрозащитная ткань грязеотталкивающей отделкой.</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Материал подкладки брюк - 100 % вискоза.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Материл утеплителя брюк - 100% полиэфир, обеспечивающий возможность эксплуатации изделий при температуре воздуха до «-25» градусов Цельсия (включительно) при использовании в 2 слоя.</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Материал верха куртки – полиэфирная </w:t>
            </w:r>
            <w:proofErr w:type="spellStart"/>
            <w:r w:rsidRPr="000444EB">
              <w:rPr>
                <w:rFonts w:ascii="Times New Roman" w:eastAsia="Times New Roman" w:hAnsi="Times New Roman" w:cs="Times New Roman"/>
                <w:bCs/>
                <w:color w:val="000000"/>
              </w:rPr>
              <w:t>влаго</w:t>
            </w:r>
            <w:proofErr w:type="spellEnd"/>
            <w:r w:rsidRPr="000444EB">
              <w:rPr>
                <w:rFonts w:ascii="Times New Roman" w:eastAsia="Times New Roman" w:hAnsi="Times New Roman" w:cs="Times New Roman"/>
                <w:bCs/>
                <w:color w:val="000000"/>
              </w:rPr>
              <w:t xml:space="preserve">- и ветрозащитная ткань с грязеотталкивающей отделкой.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Материал подкладки куртки -  100 % вискоза.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Материал утеплителя куртки -  100% полиэфир, обеспечивающий возможность эксплуатации изделий при температуре воздуха до «-25» градусов Цельсия (включительно) при использовании в 2 слоя.</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Требования к составу комплекта:</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lastRenderedPageBreak/>
              <w:t xml:space="preserve">Комплект состоит из утепленной куртки с пристегивающимся капюшоном, со съемным утепленным жилетом и утепленных брюк или полукомбинезона (по выбору получателя).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Состав комплекта отвечает медико-социальным показаниям инвалида. Все детали комплекта конструктивно взаимоподчинены друг другу.</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Комплект изготовлен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Брюки/полукомбинезон включают следующие функциональные элементы и функциональные узлы: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w:t>
            </w:r>
            <w:r w:rsidRPr="000444EB">
              <w:rPr>
                <w:rFonts w:ascii="Times New Roman" w:eastAsia="Times New Roman" w:hAnsi="Times New Roman" w:cs="Times New Roman"/>
                <w:bCs/>
                <w:color w:val="000000"/>
              </w:rPr>
              <w:tab/>
              <w:t>подвижные детали (откидной клапан паты, бретели);</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w:t>
            </w:r>
            <w:r w:rsidRPr="000444EB">
              <w:rPr>
                <w:rFonts w:ascii="Times New Roman" w:eastAsia="Times New Roman" w:hAnsi="Times New Roman" w:cs="Times New Roman"/>
                <w:bCs/>
                <w:color w:val="000000"/>
              </w:rPr>
              <w:tab/>
              <w:t>фиксирующие элементы (специальные застежки, ремни, шнуры);</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w:t>
            </w:r>
            <w:r w:rsidRPr="000444EB">
              <w:rPr>
                <w:rFonts w:ascii="Times New Roman" w:eastAsia="Times New Roman" w:hAnsi="Times New Roman" w:cs="Times New Roman"/>
                <w:bCs/>
                <w:color w:val="000000"/>
              </w:rPr>
              <w:tab/>
              <w:t xml:space="preserve">приспособления для облегчения эксплуатации одежды (манжета-кнопка, кольца, петли).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Пояс брюк регулируется по ширине с помощью эластичной ленты.</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Куртка имеет съемный утепленный жилет и капюшон и обеспечивать беспрепятственную работу функциональных узлов брюк. Куртка содержит следующие специальные элементы и функциональные узлы: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w:t>
            </w:r>
            <w:r w:rsidRPr="000444EB">
              <w:rPr>
                <w:rFonts w:ascii="Times New Roman" w:eastAsia="Times New Roman" w:hAnsi="Times New Roman" w:cs="Times New Roman"/>
                <w:bCs/>
                <w:color w:val="000000"/>
              </w:rPr>
              <w:tab/>
              <w:t>специальная застежка;</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w:t>
            </w:r>
            <w:r w:rsidRPr="000444EB">
              <w:rPr>
                <w:rFonts w:ascii="Times New Roman" w:eastAsia="Times New Roman" w:hAnsi="Times New Roman" w:cs="Times New Roman"/>
                <w:bCs/>
                <w:color w:val="000000"/>
              </w:rPr>
              <w:tab/>
              <w:t xml:space="preserve">специальный клапан для крепления капюшона. </w:t>
            </w:r>
          </w:p>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bCs/>
                <w:color w:val="000000"/>
              </w:rPr>
            </w:pPr>
            <w:r w:rsidRPr="000444EB">
              <w:rPr>
                <w:rFonts w:ascii="Times New Roman" w:eastAsia="Times New Roman" w:hAnsi="Times New Roman" w:cs="Times New Roman"/>
                <w:bCs/>
                <w:color w:val="000000"/>
              </w:rPr>
              <w:t xml:space="preserve">Рукава куртки снабжены регулируемыми застежками или напульсниками с эластичными </w:t>
            </w:r>
            <w:bookmarkStart w:id="0" w:name="_GoBack"/>
            <w:bookmarkEnd w:id="0"/>
            <w:r w:rsidR="00BA1493" w:rsidRPr="000444EB">
              <w:rPr>
                <w:rFonts w:ascii="Times New Roman" w:eastAsia="Times New Roman" w:hAnsi="Times New Roman" w:cs="Times New Roman"/>
                <w:bCs/>
                <w:color w:val="000000"/>
              </w:rPr>
              <w:t>вставками.</w:t>
            </w:r>
          </w:p>
        </w:tc>
        <w:tc>
          <w:tcPr>
            <w:tcW w:w="496"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spacing w:after="0" w:line="276" w:lineRule="auto"/>
              <w:jc w:val="center"/>
              <w:rPr>
                <w:rFonts w:ascii="Times New Roman" w:eastAsia="Times New Roman" w:hAnsi="Times New Roman" w:cs="Times New Roman"/>
                <w:bCs/>
              </w:rPr>
            </w:pPr>
            <w:r w:rsidRPr="000444EB">
              <w:rPr>
                <w:rFonts w:ascii="Times New Roman" w:eastAsia="Times New Roman" w:hAnsi="Times New Roman" w:cs="Times New Roman"/>
                <w:bCs/>
              </w:rPr>
              <w:lastRenderedPageBreak/>
              <w:t>Шт.</w:t>
            </w:r>
          </w:p>
        </w:tc>
        <w:tc>
          <w:tcPr>
            <w:tcW w:w="466" w:type="pct"/>
            <w:tcBorders>
              <w:top w:val="single" w:sz="4" w:space="0" w:color="auto"/>
              <w:left w:val="single" w:sz="4" w:space="0" w:color="auto"/>
              <w:bottom w:val="single" w:sz="4" w:space="0" w:color="auto"/>
              <w:right w:val="single" w:sz="4" w:space="0" w:color="auto"/>
            </w:tcBorders>
            <w:vAlign w:val="center"/>
          </w:tcPr>
          <w:p w:rsidR="000444EB" w:rsidRPr="000444EB" w:rsidRDefault="00BF3A7D" w:rsidP="000444EB">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lang w:val="en-US"/>
              </w:rPr>
              <w:t>9</w:t>
            </w:r>
            <w:r w:rsidR="000444EB" w:rsidRPr="000444EB">
              <w:rPr>
                <w:rFonts w:ascii="Times New Roman" w:eastAsia="Times New Roman" w:hAnsi="Times New Roman" w:cs="Times New Roman"/>
                <w:bCs/>
              </w:rPr>
              <w:t>5</w:t>
            </w:r>
          </w:p>
        </w:tc>
      </w:tr>
      <w:tr w:rsidR="000444EB" w:rsidRPr="000444EB" w:rsidTr="00BF3A7D">
        <w:trPr>
          <w:trHeight w:val="334"/>
        </w:trPr>
        <w:tc>
          <w:tcPr>
            <w:tcW w:w="281"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spacing w:after="0" w:line="276" w:lineRule="auto"/>
              <w:jc w:val="center"/>
              <w:rPr>
                <w:rFonts w:ascii="Times New Roman" w:eastAsia="Times New Roman" w:hAnsi="Times New Roman" w:cs="Times New Roman"/>
                <w:bCs/>
                <w:color w:val="000000"/>
              </w:rPr>
            </w:pPr>
          </w:p>
        </w:tc>
        <w:tc>
          <w:tcPr>
            <w:tcW w:w="1014" w:type="pct"/>
            <w:tcBorders>
              <w:top w:val="single" w:sz="4" w:space="0" w:color="auto"/>
              <w:left w:val="single" w:sz="4" w:space="0" w:color="auto"/>
              <w:bottom w:val="single" w:sz="4" w:space="0" w:color="auto"/>
              <w:right w:val="single" w:sz="4" w:space="0" w:color="auto"/>
            </w:tcBorders>
            <w:vAlign w:val="center"/>
            <w:hideMark/>
          </w:tcPr>
          <w:p w:rsidR="000444EB" w:rsidRPr="000444EB" w:rsidRDefault="000444EB" w:rsidP="000444EB">
            <w:pPr>
              <w:spacing w:after="0" w:line="276" w:lineRule="auto"/>
              <w:jc w:val="center"/>
              <w:rPr>
                <w:rFonts w:ascii="Times New Roman" w:eastAsia="Times New Roman" w:hAnsi="Times New Roman" w:cs="Times New Roman"/>
              </w:rPr>
            </w:pPr>
            <w:r w:rsidRPr="000444EB">
              <w:rPr>
                <w:rFonts w:ascii="Times New Roman" w:eastAsia="Times New Roman" w:hAnsi="Times New Roman" w:cs="Times New Roman"/>
              </w:rPr>
              <w:t>ИТОГО</w:t>
            </w:r>
          </w:p>
        </w:tc>
        <w:tc>
          <w:tcPr>
            <w:tcW w:w="2743" w:type="pct"/>
            <w:tcBorders>
              <w:top w:val="single" w:sz="4" w:space="0" w:color="auto"/>
              <w:left w:val="single" w:sz="4" w:space="0" w:color="auto"/>
              <w:bottom w:val="single" w:sz="4" w:space="0" w:color="auto"/>
              <w:right w:val="single" w:sz="4" w:space="0" w:color="auto"/>
            </w:tcBorders>
            <w:vAlign w:val="center"/>
          </w:tcPr>
          <w:p w:rsidR="000444EB" w:rsidRPr="000444EB" w:rsidRDefault="000444EB" w:rsidP="000444EB">
            <w:pPr>
              <w:tabs>
                <w:tab w:val="left" w:pos="708"/>
              </w:tabs>
              <w:snapToGrid w:val="0"/>
              <w:spacing w:after="0" w:line="276" w:lineRule="auto"/>
              <w:jc w:val="both"/>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0444EB" w:rsidRPr="000444EB" w:rsidRDefault="000444EB" w:rsidP="000444EB">
            <w:pPr>
              <w:spacing w:after="0" w:line="276" w:lineRule="auto"/>
              <w:jc w:val="center"/>
              <w:rPr>
                <w:rFonts w:ascii="Times New Roman" w:eastAsia="Times New Roman" w:hAnsi="Times New Roman" w:cs="Times New Roman"/>
                <w:bCs/>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0444EB" w:rsidRPr="000444EB" w:rsidRDefault="00BF3A7D" w:rsidP="000444EB">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lang w:val="en-US"/>
              </w:rPr>
              <w:t>9</w:t>
            </w:r>
            <w:r w:rsidR="000444EB" w:rsidRPr="000444EB">
              <w:rPr>
                <w:rFonts w:ascii="Times New Roman" w:eastAsia="Times New Roman" w:hAnsi="Times New Roman" w:cs="Times New Roman"/>
                <w:bCs/>
              </w:rPr>
              <w:t>5</w:t>
            </w:r>
          </w:p>
        </w:tc>
      </w:tr>
    </w:tbl>
    <w:p w:rsidR="000444EB" w:rsidRPr="000444EB" w:rsidRDefault="000444EB" w:rsidP="000444EB">
      <w:pPr>
        <w:spacing w:after="0" w:line="360" w:lineRule="auto"/>
        <w:rPr>
          <w:rFonts w:ascii="Times New Roman" w:eastAsia="Times New Roman" w:hAnsi="Times New Roman" w:cs="Times New Roman"/>
          <w:b/>
          <w:lang w:eastAsia="ru-RU"/>
        </w:rPr>
      </w:pPr>
      <w:r w:rsidRPr="000444EB">
        <w:rPr>
          <w:rFonts w:ascii="Times New Roman" w:eastAsia="Times New Roman" w:hAnsi="Times New Roman" w:cs="Times New Roman"/>
          <w:b/>
          <w:lang w:eastAsia="ru-RU"/>
        </w:rPr>
        <w:lastRenderedPageBreak/>
        <w:t>Требование к качеству работ:</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Выполнение работ по изготовлению и обеспечению Получателей изделиями осуществляется при наличии у Исполнителя документов, подтверждающих соответствие изделий (декларации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 xml:space="preserve">Изделие предназначено для обеспечения самообслуживания и/или облегчения действий обслуживающих лиц. </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Изделие изготавливается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При выдаче готового изделия получателю предоставляется инструкция по эксплуатации, выданная ее изготовителем, изделие должно быть готовое к эксплуатации.</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lastRenderedPageBreak/>
        <w:t>Текущее обслуживание изделия производится инвалидами в соответствии с инструкцией по эксплуатации.</w:t>
      </w:r>
    </w:p>
    <w:p w:rsidR="000444EB" w:rsidRPr="000444EB" w:rsidRDefault="000444EB" w:rsidP="000444EB">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 xml:space="preserve">Материалы, применяемые при изготовлении изделия не должны вызывать токсических и аллергических реакций кожных тканей Получателя и должны быть разрешены к применению в протезно-ортопедических изделиях органами Федеральной службой по надзору в сфере здравоохранения и социального развития РФ. </w:t>
      </w:r>
    </w:p>
    <w:p w:rsidR="000444EB" w:rsidRPr="000444EB" w:rsidRDefault="000444EB" w:rsidP="00BF3A7D">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Изделие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0444EB" w:rsidRPr="000444EB" w:rsidRDefault="000444EB" w:rsidP="000444EB">
      <w:pPr>
        <w:keepNext/>
        <w:suppressLineNumbers/>
        <w:suppressAutoHyphens/>
        <w:spacing w:after="0" w:line="360" w:lineRule="auto"/>
        <w:ind w:firstLine="709"/>
        <w:rPr>
          <w:rFonts w:ascii="Times New Roman" w:eastAsia="Times New Roman" w:hAnsi="Times New Roman" w:cs="Times New Roman"/>
          <w:b/>
          <w:lang w:eastAsia="ru-RU"/>
        </w:rPr>
      </w:pPr>
      <w:r w:rsidRPr="000444EB">
        <w:rPr>
          <w:rFonts w:ascii="Times New Roman" w:eastAsia="Times New Roman" w:hAnsi="Times New Roman" w:cs="Times New Roman"/>
          <w:b/>
          <w:lang w:eastAsia="ru-RU"/>
        </w:rPr>
        <w:t>Требования к упаковке и маркировке Изделия:</w:t>
      </w:r>
    </w:p>
    <w:p w:rsidR="000444EB" w:rsidRPr="000444EB" w:rsidRDefault="000444EB" w:rsidP="000444EB">
      <w:pPr>
        <w:keepNext/>
        <w:suppressLineNumbers/>
        <w:suppressAutoHyphens/>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Упаковка изделия обеспечивает ее защиту от повреждений, порчи (изнашивания), или загрязнения во время хранения и транспортирования к месту использования по назначению.</w:t>
      </w:r>
    </w:p>
    <w:p w:rsidR="000444EB" w:rsidRPr="000444EB" w:rsidRDefault="000444EB" w:rsidP="00BF3A7D">
      <w:pPr>
        <w:spacing w:after="0" w:line="360" w:lineRule="auto"/>
        <w:ind w:firstLine="709"/>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Поставляемая продукция является новой, не бывшей в употреблении, изготавливается в 2023 году, не имеет восстановленных элементов. Упаковка обеспечивает сохранность изделия при его транспортировке и хранении. Декларации о соответствии на изделие предоставляется (при наличии).</w:t>
      </w:r>
    </w:p>
    <w:p w:rsidR="000444EB" w:rsidRPr="000444EB" w:rsidRDefault="000444EB" w:rsidP="000444EB">
      <w:pPr>
        <w:keepNext/>
        <w:suppressAutoHyphens/>
        <w:spacing w:after="0" w:line="360" w:lineRule="auto"/>
        <w:rPr>
          <w:rFonts w:ascii="Times New Roman" w:eastAsia="Times New Roman" w:hAnsi="Times New Roman" w:cs="Times New Roman"/>
          <w:b/>
          <w:lang w:eastAsia="ru-RU"/>
        </w:rPr>
      </w:pPr>
      <w:r w:rsidRPr="000444EB">
        <w:rPr>
          <w:rFonts w:ascii="Times New Roman" w:eastAsia="Times New Roman" w:hAnsi="Times New Roman" w:cs="Times New Roman"/>
          <w:lang w:eastAsia="ru-RU"/>
        </w:rPr>
        <w:t xml:space="preserve"> </w:t>
      </w:r>
      <w:r w:rsidRPr="000444EB">
        <w:rPr>
          <w:rFonts w:ascii="Times New Roman" w:eastAsia="Times New Roman" w:hAnsi="Times New Roman" w:cs="Times New Roman"/>
          <w:lang w:eastAsia="ru-RU"/>
        </w:rPr>
        <w:tab/>
      </w:r>
      <w:r w:rsidRPr="000444EB">
        <w:rPr>
          <w:rFonts w:ascii="Times New Roman" w:eastAsia="Times New Roman" w:hAnsi="Times New Roman" w:cs="Times New Roman"/>
          <w:b/>
          <w:lang w:eastAsia="ru-RU"/>
        </w:rPr>
        <w:t>Требования к сроку и (или) объему предоставления гарантий качества выполнения работ:</w:t>
      </w:r>
    </w:p>
    <w:p w:rsidR="000444EB" w:rsidRPr="000444EB" w:rsidRDefault="000444EB" w:rsidP="000444EB">
      <w:pPr>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Гарантийный срок на изделия, являющиеся результатом работ, должен устанавливаться с даты подписания Акта приема-передачи изделия Получателем. В период гарантийного срока Исполнитель должен производить ремонт и замену за счет собственных средств.</w:t>
      </w:r>
    </w:p>
    <w:p w:rsidR="000444EB" w:rsidRPr="000444EB" w:rsidRDefault="000444EB" w:rsidP="000444EB">
      <w:pPr>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Срок пользования изделием устанавливается в соответствии Приказом Министерства труда и социальной защиты Российской Федерации от 05.03.2021 №107н «Об утверждении сроков пользования техническими средствами реабилитации, протезами и протезно-ортопедическими изделиями до их замены».</w:t>
      </w:r>
    </w:p>
    <w:p w:rsidR="000444EB" w:rsidRPr="000444EB" w:rsidRDefault="000444EB" w:rsidP="000444EB">
      <w:pPr>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Срок дополнительной гарантии качества изделия не может превышать срока службы изделия.</w:t>
      </w:r>
    </w:p>
    <w:p w:rsidR="000444EB" w:rsidRPr="000444EB" w:rsidRDefault="000444EB" w:rsidP="000444EB">
      <w:pPr>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Гарантийный срок на изделия, являющиеся результатом работ, устанавливается со дня выдачи изделия и его продолжительность должен составлять не менее 6 (шести) месяцев со дня подписания Акта приема-передачи изделия Получателем. В период гарантийного срока Исполнитель производит ремонт или замену за счет собственных средств.</w:t>
      </w:r>
    </w:p>
    <w:p w:rsidR="000444EB" w:rsidRPr="000444EB" w:rsidRDefault="000444EB" w:rsidP="000444EB">
      <w:pPr>
        <w:keepNext/>
        <w:tabs>
          <w:tab w:val="left" w:pos="6240"/>
        </w:tabs>
        <w:suppressAutoHyphens/>
        <w:spacing w:after="0" w:line="360" w:lineRule="auto"/>
        <w:ind w:firstLine="720"/>
        <w:jc w:val="both"/>
        <w:rPr>
          <w:rFonts w:ascii="Times New Roman" w:eastAsia="Times New Roman" w:hAnsi="Times New Roman" w:cs="Times New Roman"/>
          <w:lang w:eastAsia="ru-RU"/>
        </w:rPr>
      </w:pPr>
      <w:r w:rsidRPr="000444EB">
        <w:rPr>
          <w:rFonts w:ascii="Times New Roman" w:eastAsia="Times New Roman" w:hAnsi="Times New Roman" w:cs="Times New Roman"/>
          <w:lang w:eastAsia="ru-RU"/>
        </w:rPr>
        <w:t>Получателю, одновременно с изделием должны быть переданы инструкция по эксплуатации и гарантийный талон.</w:t>
      </w:r>
    </w:p>
    <w:p w:rsidR="00CC6938" w:rsidRDefault="00CC6938"/>
    <w:sectPr w:rsidR="00CC6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D6"/>
    <w:rsid w:val="000444EB"/>
    <w:rsid w:val="003002D6"/>
    <w:rsid w:val="00727C69"/>
    <w:rsid w:val="00BA1493"/>
    <w:rsid w:val="00BF3A7D"/>
    <w:rsid w:val="00CC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6A3-BB52-42B7-9DA7-A4CBC8BF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Ганеева Снежана Рамилевна</dc:creator>
  <cp:keywords/>
  <dc:description/>
  <cp:lastModifiedBy>Куклева Анастасия Александровна</cp:lastModifiedBy>
  <cp:revision>7</cp:revision>
  <dcterms:created xsi:type="dcterms:W3CDTF">2023-11-21T07:51:00Z</dcterms:created>
  <dcterms:modified xsi:type="dcterms:W3CDTF">2024-01-31T12:14:00Z</dcterms:modified>
</cp:coreProperties>
</file>