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F278FA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9A1C13">
        <w:rPr>
          <w:rFonts w:ascii="Times New Roman" w:hAnsi="Times New Roman" w:cs="Times New Roman"/>
          <w:b/>
          <w:sz w:val="24"/>
          <w:szCs w:val="28"/>
        </w:rPr>
        <w:t>в</w:t>
      </w:r>
      <w:r w:rsidR="009A1C13" w:rsidRPr="009A1C13">
        <w:rPr>
          <w:rFonts w:ascii="Times New Roman" w:hAnsi="Times New Roman" w:cs="Times New Roman"/>
          <w:b/>
          <w:bCs/>
          <w:sz w:val="24"/>
          <w:szCs w:val="28"/>
        </w:rPr>
        <w:t xml:space="preserve">ыполнение работ </w:t>
      </w:r>
      <w:r w:rsidR="003C4FB2" w:rsidRPr="003C4FB2">
        <w:rPr>
          <w:rFonts w:ascii="Times New Roman" w:hAnsi="Times New Roman" w:cs="Times New Roman"/>
          <w:b/>
          <w:bCs/>
          <w:sz w:val="24"/>
          <w:szCs w:val="28"/>
        </w:rPr>
        <w:t>по изготовлению ортезов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F278FA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9A1C13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31128"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="00A31128" w:rsidRPr="00A31128">
        <w:rPr>
          <w:rFonts w:ascii="Times New Roman" w:hAnsi="Times New Roman" w:cs="Times New Roman"/>
          <w:sz w:val="24"/>
        </w:rPr>
        <w:t>, организованном Исполнителем</w:t>
      </w:r>
      <w:r>
        <w:rPr>
          <w:rFonts w:ascii="Times New Roman" w:hAnsi="Times New Roman" w:cs="Times New Roman"/>
          <w:sz w:val="24"/>
        </w:rPr>
        <w:t xml:space="preserve"> </w:t>
      </w:r>
      <w:r w:rsidR="00044054">
        <w:rPr>
          <w:rFonts w:ascii="Times New Roman" w:hAnsi="Times New Roman" w:cs="Times New Roman"/>
          <w:sz w:val="24"/>
        </w:rPr>
        <w:t>в</w:t>
      </w:r>
      <w:r w:rsidR="00A31128" w:rsidRPr="00A31128">
        <w:rPr>
          <w:rFonts w:ascii="Times New Roman" w:hAnsi="Times New Roman" w:cs="Times New Roman"/>
          <w:sz w:val="24"/>
        </w:rPr>
        <w:t xml:space="preserve"> </w:t>
      </w:r>
      <w:r w:rsidR="00E80156">
        <w:rPr>
          <w:rFonts w:ascii="Times New Roman" w:hAnsi="Times New Roman" w:cs="Times New Roman"/>
          <w:sz w:val="24"/>
        </w:rPr>
        <w:t>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</w:t>
      </w:r>
      <w:r>
        <w:rPr>
          <w:rFonts w:ascii="Times New Roman" w:hAnsi="Times New Roman" w:cs="Times New Roman"/>
          <w:sz w:val="24"/>
        </w:rPr>
        <w:t xml:space="preserve"> и (или) Еврейской автономной области</w:t>
      </w:r>
      <w:r w:rsidR="00E80156" w:rsidRPr="00E80156">
        <w:rPr>
          <w:rFonts w:ascii="Times New Roman" w:hAnsi="Times New Roman" w:cs="Times New Roman"/>
          <w:sz w:val="24"/>
        </w:rPr>
        <w:t xml:space="preserve"> Российской Федерации</w:t>
      </w:r>
      <w:r w:rsidR="00A31128" w:rsidRPr="00A31128">
        <w:rPr>
          <w:rFonts w:ascii="Times New Roman" w:hAnsi="Times New Roman" w:cs="Times New Roman"/>
          <w:sz w:val="24"/>
        </w:rPr>
        <w:t>.</w:t>
      </w:r>
    </w:p>
    <w:p w:rsidR="00FC5755" w:rsidRPr="00CA5600" w:rsidRDefault="00FC5755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0156" w:rsidRPr="00E80156">
        <w:rPr>
          <w:rFonts w:ascii="Times New Roman" w:hAnsi="Times New Roman" w:cs="Times New Roman"/>
          <w:sz w:val="24"/>
        </w:rPr>
        <w:t xml:space="preserve">К пункту </w:t>
      </w:r>
      <w:r w:rsidR="00CC4C04" w:rsidRPr="00CC4C04">
        <w:rPr>
          <w:rFonts w:ascii="Times New Roman" w:hAnsi="Times New Roman" w:cs="Times New Roman"/>
          <w:sz w:val="24"/>
        </w:rPr>
        <w:t>приема заказов и выдачи готовых изделий</w:t>
      </w:r>
      <w:r w:rsidR="00E80156" w:rsidRPr="00E80156">
        <w:rPr>
          <w:rFonts w:ascii="Times New Roman" w:hAnsi="Times New Roman" w:cs="Times New Roman"/>
          <w:sz w:val="24"/>
        </w:rPr>
        <w:t xml:space="preserve"> должен быть беспрепятственный доступ (наличие пандусов приспособленных, в том числе для инвалидов</w:t>
      </w:r>
      <w:r w:rsidR="00E80156">
        <w:rPr>
          <w:rFonts w:ascii="Times New Roman" w:hAnsi="Times New Roman" w:cs="Times New Roman"/>
          <w:sz w:val="24"/>
        </w:rPr>
        <w:t xml:space="preserve">, </w:t>
      </w:r>
      <w:r w:rsidR="00E80156" w:rsidRPr="00E80156">
        <w:rPr>
          <w:rFonts w:ascii="Times New Roman" w:hAnsi="Times New Roman" w:cs="Times New Roman"/>
          <w:sz w:val="24"/>
        </w:rPr>
        <w:t>использующих кресла-коляски).</w:t>
      </w:r>
    </w:p>
    <w:p w:rsidR="006122D6" w:rsidRDefault="00943A14" w:rsidP="009A1C13">
      <w:pPr>
        <w:pStyle w:val="Standard"/>
        <w:tabs>
          <w:tab w:val="left" w:pos="0"/>
        </w:tabs>
        <w:ind w:right="-2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F278FA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 w:rsidR="00B61BE2">
        <w:rPr>
          <w:rFonts w:ascii="Times New Roman" w:hAnsi="Times New Roman" w:cs="Times New Roman"/>
          <w:sz w:val="24"/>
        </w:rPr>
        <w:t>п</w:t>
      </w:r>
      <w:r w:rsidR="00A921B0" w:rsidRPr="00A921B0">
        <w:rPr>
          <w:rFonts w:ascii="Times New Roman" w:hAnsi="Times New Roman" w:cs="Times New Roman"/>
          <w:sz w:val="24"/>
        </w:rPr>
        <w:t xml:space="preserve">о </w:t>
      </w:r>
      <w:r w:rsidR="009A1C13">
        <w:rPr>
          <w:rFonts w:ascii="Times New Roman" w:hAnsi="Times New Roman" w:cs="Times New Roman"/>
          <w:sz w:val="24"/>
        </w:rPr>
        <w:t>01</w:t>
      </w:r>
      <w:r w:rsidR="00911E3C">
        <w:rPr>
          <w:rFonts w:ascii="Times New Roman" w:hAnsi="Times New Roman" w:cs="Times New Roman"/>
          <w:sz w:val="24"/>
        </w:rPr>
        <w:t xml:space="preserve"> ноября</w:t>
      </w:r>
      <w:r w:rsidR="00B61BE2">
        <w:rPr>
          <w:rFonts w:ascii="Times New Roman" w:hAnsi="Times New Roman" w:cs="Times New Roman"/>
          <w:sz w:val="24"/>
        </w:rPr>
        <w:t xml:space="preserve"> </w:t>
      </w:r>
      <w:r w:rsidR="00A921B0" w:rsidRPr="00A921B0">
        <w:rPr>
          <w:rFonts w:ascii="Times New Roman" w:hAnsi="Times New Roman" w:cs="Times New Roman"/>
          <w:sz w:val="24"/>
        </w:rPr>
        <w:t>202</w:t>
      </w:r>
      <w:r w:rsidR="00911E3C">
        <w:rPr>
          <w:rFonts w:ascii="Times New Roman" w:hAnsi="Times New Roman" w:cs="Times New Roman"/>
          <w:sz w:val="24"/>
        </w:rPr>
        <w:t>4</w:t>
      </w:r>
      <w:r w:rsidR="00A31128">
        <w:rPr>
          <w:rFonts w:ascii="Times New Roman" w:hAnsi="Times New Roman" w:cs="Times New Roman"/>
          <w:sz w:val="24"/>
        </w:rPr>
        <w:t xml:space="preserve"> г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44054" w:rsidRDefault="00044054" w:rsidP="009A1C13">
      <w:pPr>
        <w:pStyle w:val="Standard"/>
        <w:tabs>
          <w:tab w:val="left" w:pos="0"/>
        </w:tabs>
        <w:ind w:right="-229"/>
        <w:rPr>
          <w:rFonts w:ascii="Times New Roman" w:hAnsi="Times New Roman" w:cs="Times New Roman"/>
          <w:sz w:val="24"/>
        </w:rPr>
      </w:pPr>
      <w:r w:rsidRPr="00044054">
        <w:rPr>
          <w:rFonts w:ascii="Times New Roman" w:hAnsi="Times New Roman" w:cs="Times New Roman"/>
          <w:sz w:val="24"/>
        </w:rPr>
        <w:t xml:space="preserve">       Срок выполнения работ по обеспечению Получателей </w:t>
      </w:r>
      <w:proofErr w:type="spellStart"/>
      <w:r w:rsidRPr="00044054">
        <w:rPr>
          <w:rFonts w:ascii="Times New Roman" w:hAnsi="Times New Roman" w:cs="Times New Roman"/>
          <w:sz w:val="24"/>
        </w:rPr>
        <w:t>ортезами</w:t>
      </w:r>
      <w:proofErr w:type="spellEnd"/>
      <w:r w:rsidRPr="00044054">
        <w:rPr>
          <w:rFonts w:ascii="Times New Roman" w:hAnsi="Times New Roman" w:cs="Times New Roman"/>
          <w:sz w:val="24"/>
        </w:rPr>
        <w:t xml:space="preserve">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E93DCE" w:rsidRDefault="00943A14" w:rsidP="00E93DC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</w:t>
      </w:r>
      <w:r w:rsidR="00F278FA">
        <w:rPr>
          <w:rFonts w:ascii="Times New Roman" w:hAnsi="Times New Roman" w:cs="Times New Roman"/>
          <w:b/>
          <w:sz w:val="24"/>
        </w:rPr>
        <w:t>5</w:t>
      </w:r>
      <w:r w:rsidRPr="00943A14">
        <w:rPr>
          <w:rFonts w:ascii="Times New Roman" w:hAnsi="Times New Roman" w:cs="Times New Roman"/>
          <w:b/>
          <w:sz w:val="24"/>
        </w:rPr>
        <w:t>.</w:t>
      </w:r>
      <w:r w:rsidR="00E93DCE">
        <w:rPr>
          <w:rFonts w:ascii="Times New Roman" w:hAnsi="Times New Roman" w:cs="Times New Roman"/>
          <w:sz w:val="24"/>
        </w:rPr>
        <w:t xml:space="preserve"> </w:t>
      </w:r>
      <w:r w:rsidR="00E93DCE">
        <w:rPr>
          <w:rFonts w:ascii="Times New Roman" w:hAnsi="Times New Roman" w:cs="Times New Roman"/>
          <w:b/>
          <w:color w:val="000000"/>
          <w:kern w:val="1"/>
          <w:sz w:val="24"/>
        </w:rPr>
        <w:t>Объем работ:</w:t>
      </w:r>
      <w:r w:rsidR="00E93DCE">
        <w:rPr>
          <w:b/>
          <w:color w:val="000000"/>
          <w:kern w:val="1"/>
          <w:sz w:val="24"/>
        </w:rPr>
        <w:t xml:space="preserve"> </w:t>
      </w:r>
      <w:r w:rsidR="00E93DCE" w:rsidRPr="00E93DCE">
        <w:rPr>
          <w:rFonts w:ascii="Times New Roman" w:hAnsi="Times New Roman" w:cs="Times New Roman"/>
          <w:sz w:val="24"/>
        </w:rPr>
        <w:t xml:space="preserve">Объем подлежащих </w:t>
      </w:r>
      <w:r w:rsidR="00E93DCE">
        <w:rPr>
          <w:rFonts w:ascii="Times New Roman" w:hAnsi="Times New Roman" w:cs="Times New Roman"/>
          <w:sz w:val="24"/>
        </w:rPr>
        <w:t>выполнению работ</w:t>
      </w:r>
      <w:r w:rsidR="00E93DCE" w:rsidRPr="00E93DCE">
        <w:rPr>
          <w:rFonts w:ascii="Times New Roman" w:hAnsi="Times New Roman" w:cs="Times New Roman"/>
          <w:sz w:val="24"/>
        </w:rPr>
        <w:t xml:space="preserve"> невозможно определить</w:t>
      </w:r>
      <w:r w:rsidR="00E93DCE">
        <w:rPr>
          <w:rFonts w:ascii="Times New Roman" w:hAnsi="Times New Roman" w:cs="Times New Roman"/>
          <w:sz w:val="24"/>
        </w:rPr>
        <w:t>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622223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7C3937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Ортез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>-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ое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устройств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о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>, надеваемое на конечность или ее сегмент (сегменты) опорно-двигательного аппарата</w:t>
      </w:r>
      <w:r w:rsidR="00F278FA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инвалид</w:t>
      </w:r>
      <w:r w:rsidR="0087623F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</w:t>
      </w:r>
      <w:r w:rsidR="00F278FA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Получател</w:t>
      </w:r>
      <w:r w:rsidR="0087623F">
        <w:rPr>
          <w:rFonts w:ascii="Times New Roman" w:eastAsia="Arial" w:hAnsi="Times New Roman" w:cs="Times New Roman"/>
          <w:kern w:val="1"/>
          <w:sz w:val="24"/>
          <w:lang w:eastAsia="ar-SA" w:bidi="ar-SA"/>
        </w:rPr>
        <w:t>ь</w:t>
      </w:r>
      <w:r w:rsidR="00F278FA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 целью его фиксации, разгрузки для восстановления нарушенных функций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DD5F9B">
        <w:rPr>
          <w:rFonts w:ascii="Times New Roman" w:eastAsia="Arial" w:hAnsi="Times New Roman" w:cs="Times New Roman"/>
          <w:kern w:val="1"/>
          <w:sz w:val="24"/>
          <w:lang w:eastAsia="ar-SA" w:bidi="ar-SA"/>
        </w:rPr>
        <w:t>я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7C3937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Р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аботы по обеспечению 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получателей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ортез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ами нижних конечностей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должны быть направлены на изготовление техническ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их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устройств, к котор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ым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относ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я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тся </w:t>
      </w:r>
      <w:r w:rsidR="003C4FB2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Изделия</w:t>
      </w:r>
      <w:r w:rsidRPr="007C393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для обеспечения механической фиксации, разгрузки, компенсации поврежденных или реконструированных суставов, костей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,</w:t>
      </w:r>
      <w:r w:rsidR="00E0573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proofErr w:type="spellStart"/>
      <w:r w:rsidR="00E0573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сумочно</w:t>
      </w:r>
      <w:proofErr w:type="spellEnd"/>
      <w:r w:rsidR="00E05735">
        <w:rPr>
          <w:rFonts w:ascii="Times New Roman" w:eastAsia="Arial" w:hAnsi="Times New Roman" w:cs="Times New Roman"/>
          <w:kern w:val="1"/>
          <w:sz w:val="24"/>
          <w:lang w:eastAsia="ar-SA" w:bidi="ar-SA"/>
        </w:rPr>
        <w:t>-связочного или мышечно-связочного аппарата и других функций организма.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</w:t>
      </w:r>
      <w:r w:rsidR="00C3253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7"/>
        <w:gridCol w:w="7512"/>
      </w:tblGrid>
      <w:tr w:rsidR="005D60D1" w:rsidRPr="006122D6" w:rsidTr="00DD4368">
        <w:trPr>
          <w:trHeight w:val="791"/>
        </w:trPr>
        <w:tc>
          <w:tcPr>
            <w:tcW w:w="507" w:type="dxa"/>
          </w:tcPr>
          <w:p w:rsidR="005D60D1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5D60D1" w:rsidRPr="006122D6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2127" w:type="dxa"/>
            <w:vAlign w:val="center"/>
          </w:tcPr>
          <w:p w:rsidR="005D60D1" w:rsidRPr="006122D6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D60D1" w:rsidRPr="006122D6" w:rsidRDefault="005D60D1" w:rsidP="00424327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7512" w:type="dxa"/>
            <w:vAlign w:val="center"/>
          </w:tcPr>
          <w:p w:rsidR="005D60D1" w:rsidRPr="006122D6" w:rsidRDefault="005D60D1" w:rsidP="00C3253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Описание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х и</w:t>
            </w: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технических характеристик </w:t>
            </w:r>
            <w:r w:rsidR="00C3253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изделия</w:t>
            </w:r>
          </w:p>
        </w:tc>
      </w:tr>
      <w:tr w:rsidR="0097193D" w:rsidRPr="006122D6" w:rsidTr="00DD4368">
        <w:trPr>
          <w:trHeight w:val="286"/>
        </w:trPr>
        <w:tc>
          <w:tcPr>
            <w:tcW w:w="507" w:type="dxa"/>
            <w:tcBorders>
              <w:left w:val="single" w:sz="1" w:space="0" w:color="000000"/>
            </w:tcBorders>
          </w:tcPr>
          <w:p w:rsidR="0097193D" w:rsidRPr="008F10A6" w:rsidRDefault="0097193D" w:rsidP="009719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97193D" w:rsidRDefault="0097193D" w:rsidP="009719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87049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Тутор на тазобедренный сустав</w:t>
            </w:r>
          </w:p>
          <w:p w:rsidR="0097193D" w:rsidRDefault="0097193D" w:rsidP="009719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97193D" w:rsidRPr="000932AE" w:rsidRDefault="0097193D" w:rsidP="009719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8-09-52</w:t>
            </w:r>
          </w:p>
        </w:tc>
        <w:tc>
          <w:tcPr>
            <w:tcW w:w="7512" w:type="dxa"/>
            <w:tcBorders>
              <w:left w:val="single" w:sz="1" w:space="0" w:color="000000"/>
            </w:tcBorders>
          </w:tcPr>
          <w:p w:rsidR="0097193D" w:rsidRPr="0097193D" w:rsidRDefault="0097193D" w:rsidP="009719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Тутор на тазобедренный сустав изготовлен по индивидуальному слепку.</w:t>
            </w:r>
          </w:p>
          <w:p w:rsidR="0097193D" w:rsidRPr="0097193D" w:rsidRDefault="0097193D" w:rsidP="009719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Тутор обеспечива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ет</w:t>
            </w: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стабилизацию и контроль положения тазобедренного сустава, сконструирован в виде цельного изделия без шарнирных соединений. Тутор состо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ит</w:t>
            </w: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 гильзы и крепления. Гильза индивидуального изготовления по слепку с конечности, состо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ит</w:t>
            </w: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 основного и вспомогательного слоёв. Основной слой изготовлен из термопластичных материалов. Вспомогательный (смягчающий) слой изготовлен из вспененных материалов (в зависимости от потребности получателя), с возможностью санитарной обработки. Вспомогательный слой представлен фрагментарно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или</w:t>
            </w: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отсутств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ует</w:t>
            </w: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(в зависимости от потребности получателя). Крепление гильзы индивидуальное. </w:t>
            </w:r>
          </w:p>
          <w:p w:rsidR="0097193D" w:rsidRPr="0097193D" w:rsidRDefault="0097193D" w:rsidP="009719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Изготовление с учетом индивидуальных особенностей получателя.</w:t>
            </w:r>
          </w:p>
          <w:p w:rsidR="0097193D" w:rsidRPr="000932AE" w:rsidRDefault="0097193D" w:rsidP="009719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7193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Назначение – постоянное, лечебно-профилактическое.</w:t>
            </w:r>
          </w:p>
        </w:tc>
      </w:tr>
      <w:tr w:rsidR="00424327" w:rsidRPr="006122D6" w:rsidTr="00DD4368">
        <w:trPr>
          <w:trHeight w:val="286"/>
        </w:trPr>
        <w:tc>
          <w:tcPr>
            <w:tcW w:w="507" w:type="dxa"/>
            <w:tcBorders>
              <w:left w:val="single" w:sz="1" w:space="0" w:color="000000"/>
            </w:tcBorders>
          </w:tcPr>
          <w:p w:rsidR="00424327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424327" w:rsidRDefault="00C244E3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C244E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Аппарат на голеностопный и коленный суставы</w:t>
            </w:r>
          </w:p>
          <w:p w:rsidR="00C244E3" w:rsidRDefault="00C244E3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C244E3" w:rsidRPr="008F10A6" w:rsidRDefault="00C244E3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8-09-38</w:t>
            </w:r>
          </w:p>
        </w:tc>
        <w:tc>
          <w:tcPr>
            <w:tcW w:w="7512" w:type="dxa"/>
            <w:tcBorders>
              <w:left w:val="single" w:sz="1" w:space="0" w:color="000000"/>
            </w:tcBorders>
          </w:tcPr>
          <w:p w:rsidR="00C244E3" w:rsidRPr="00C244E3" w:rsidRDefault="00C244E3" w:rsidP="00C244E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C244E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Предназначен для реабилитации опорно-двигательных функций нижних конечностей у больных с различными по тяжести и распространенности, вялыми, спастическими параличами мышц нижней конечности различной этиологии. Аппарат обеспечивает опороспособность пораженной нижней конечности с одновременным удержанием ее </w:t>
            </w:r>
            <w:r w:rsidRPr="00C244E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с замковым   / без замковым коленным модулем, правого и левого исполнения. Гильзы изготавлива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ются</w:t>
            </w:r>
            <w:r w:rsidRPr="00C244E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 полиэтилена или других современных отечественных термопластов с применение вакуумной формовки. </w:t>
            </w:r>
          </w:p>
          <w:p w:rsidR="00C244E3" w:rsidRPr="00C244E3" w:rsidRDefault="00C244E3" w:rsidP="00C244E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C244E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Изготовление с учетом индивидуальных особенностей получателя.</w:t>
            </w:r>
          </w:p>
          <w:p w:rsidR="00424327" w:rsidRPr="008F10A6" w:rsidRDefault="00C244E3" w:rsidP="00C244E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C244E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Назначение – постоянное</w:t>
            </w:r>
          </w:p>
        </w:tc>
      </w:tr>
      <w:tr w:rsidR="00424327" w:rsidRPr="006122D6" w:rsidTr="00DD4368">
        <w:trPr>
          <w:trHeight w:val="286"/>
        </w:trPr>
        <w:tc>
          <w:tcPr>
            <w:tcW w:w="507" w:type="dxa"/>
            <w:tcBorders>
              <w:left w:val="single" w:sz="1" w:space="0" w:color="000000"/>
            </w:tcBorders>
          </w:tcPr>
          <w:p w:rsidR="00424327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424327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DD436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Аппарат на тазобедренный сустав</w:t>
            </w:r>
          </w:p>
          <w:p w:rsidR="00DD4368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DD4368" w:rsidRPr="008F10A6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8-09-40</w:t>
            </w:r>
          </w:p>
        </w:tc>
        <w:tc>
          <w:tcPr>
            <w:tcW w:w="7512" w:type="dxa"/>
            <w:tcBorders>
              <w:left w:val="single" w:sz="1" w:space="0" w:color="000000"/>
            </w:tcBorders>
          </w:tcPr>
          <w:p w:rsidR="00424327" w:rsidRPr="008F10A6" w:rsidRDefault="00DD4368" w:rsidP="00DD436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Ортопедический аппарат тазобедренного сустава с шарниром универсальный, для поддержки бедра в правильном положении и ограничении объема движения. Элементы аппарата настраиваются, либо изготавливаются с учетом индивидуальных особенностей. Аппарат может быть изготовлен из комбинации эластичной или жесткой ткани, пластиковой или металлической конструкции. Используются различные виды креплений. Изготовление по слепку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Назначение - постоянное, специальное.</w:t>
            </w:r>
          </w:p>
        </w:tc>
      </w:tr>
      <w:tr w:rsidR="00424327" w:rsidRPr="006122D6" w:rsidTr="00DD4368">
        <w:trPr>
          <w:trHeight w:val="286"/>
        </w:trPr>
        <w:tc>
          <w:tcPr>
            <w:tcW w:w="507" w:type="dxa"/>
            <w:tcBorders>
              <w:left w:val="single" w:sz="1" w:space="0" w:color="000000"/>
            </w:tcBorders>
          </w:tcPr>
          <w:p w:rsidR="00424327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424327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DD436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Тутор на коленный и тазобедренный суставы</w:t>
            </w:r>
          </w:p>
          <w:p w:rsidR="00DD4368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DD4368" w:rsidRPr="008F10A6" w:rsidRDefault="00DD4368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8-09-53</w:t>
            </w:r>
          </w:p>
        </w:tc>
        <w:tc>
          <w:tcPr>
            <w:tcW w:w="7512" w:type="dxa"/>
            <w:tcBorders>
              <w:left w:val="single" w:sz="1" w:space="0" w:color="000000"/>
            </w:tcBorders>
          </w:tcPr>
          <w:p w:rsidR="00DD4368" w:rsidRPr="00DD4368" w:rsidRDefault="00DD4368" w:rsidP="00DD436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Тутор на коленный и тазобедренный суставы, фиксирующий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индивидуального изготовления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</w:p>
          <w:p w:rsidR="00424327" w:rsidRPr="008F10A6" w:rsidRDefault="00DD4368" w:rsidP="0004405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Состоит из сплошной гильзы на тазобедренный сустав переходящей на бедро с захватом коленного сустава и середину голени, изготовленной по индивидуальному слепку. Материал гильз из листового термопластика, слоистого пластика без вкладыша в гильзу или с вкладышем в гильзу из вспененного материала или аналога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крепление лентой </w:t>
            </w:r>
            <w:r w:rsidR="00B9259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типа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велкро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или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шнуровкой.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DD436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Назначение лечебно-профилактическое.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6122D6" w:rsidRDefault="00D21F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Выполняемые работы должны включать комплекс медицинских, технических и социальных мероприятий, проводимых с </w:t>
      </w:r>
      <w:r w:rsidR="002D6C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получателями,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имеющи</w:t>
      </w:r>
      <w:r w:rsidR="002D6C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65DF9" w:rsidRDefault="00B65DF9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Выполнение работ по </w:t>
      </w:r>
      <w:proofErr w:type="spellStart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ортезированию</w:t>
      </w:r>
      <w:proofErr w:type="spellEnd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должно соответствовать назначениям медико-социальной экспертизы, а также врача. При выполнении работ</w:t>
      </w:r>
      <w:r w:rsidR="00C94AD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должен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осуществля</w:t>
      </w:r>
      <w:r w:rsidR="00C94AD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ться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контроль при примерке и обеспечении указанными средствами реабилитации</w:t>
      </w:r>
      <w:r w:rsidR="002D6C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Получатели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испытывать болей, избыточного давления, обуславливающих нарушения кровообращения. Аппараты </w:t>
      </w:r>
      <w:proofErr w:type="spellStart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ортопедическиие</w:t>
      </w:r>
      <w:proofErr w:type="spellEnd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555D6D" w:rsidRPr="006122D6" w:rsidRDefault="00D21F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связочно</w:t>
      </w:r>
      <w:proofErr w:type="spellEnd"/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-мышечного аппарата, коррекции взаимоположения деформированных сегментов конечности</w:t>
      </w:r>
      <w:r w:rsidR="00555D6D"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8813E3" w:rsidRDefault="004805D1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</w:t>
      </w:r>
      <w:r w:rsidR="00CC4C0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соответствовать </w:t>
      </w:r>
      <w:bookmarkStart w:id="0" w:name="_GoBack"/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требованиям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</w:t>
      </w:r>
      <w:r w:rsidR="001055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Российской Федерации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</w:t>
      </w:r>
      <w:bookmarkEnd w:id="0"/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447C00" w:rsidRDefault="006122D6" w:rsidP="00447C0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lastRenderedPageBreak/>
        <w:t>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546AEA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546AEA">
        <w:rPr>
          <w:rFonts w:ascii="Times New Roman" w:hAnsi="Times New Roman"/>
          <w:sz w:val="24"/>
        </w:rPr>
        <w:t>ями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</w:t>
      </w:r>
      <w:r w:rsidR="00546AEA">
        <w:rPr>
          <w:rFonts w:ascii="Times New Roman" w:hAnsi="Times New Roman"/>
          <w:sz w:val="24"/>
        </w:rPr>
        <w:t xml:space="preserve">частично или полностью </w:t>
      </w:r>
      <w:r w:rsidRPr="00822020">
        <w:rPr>
          <w:rFonts w:ascii="Times New Roman" w:hAnsi="Times New Roman"/>
          <w:sz w:val="24"/>
        </w:rPr>
        <w:t>восстановлена опорная и</w:t>
      </w:r>
      <w:r w:rsidR="00546AEA">
        <w:rPr>
          <w:rFonts w:ascii="Times New Roman" w:hAnsi="Times New Roman"/>
          <w:sz w:val="24"/>
        </w:rPr>
        <w:t>ли</w:t>
      </w:r>
      <w:r w:rsidRPr="00822020">
        <w:rPr>
          <w:rFonts w:ascii="Times New Roman" w:hAnsi="Times New Roman"/>
          <w:sz w:val="24"/>
        </w:rPr>
        <w:t xml:space="preserve">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</w:t>
      </w:r>
      <w:r w:rsidR="00546AEA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546AEA">
        <w:rPr>
          <w:rFonts w:ascii="Times New Roman" w:hAnsi="Times New Roman"/>
          <w:sz w:val="24"/>
        </w:rPr>
        <w:t>я</w:t>
      </w:r>
      <w:r w:rsidR="00486274">
        <w:rPr>
          <w:rFonts w:ascii="Times New Roman" w:hAnsi="Times New Roman"/>
          <w:sz w:val="24"/>
        </w:rPr>
        <w:t>м</w:t>
      </w:r>
      <w:r w:rsidR="00546AEA">
        <w:rPr>
          <w:rFonts w:ascii="Times New Roman" w:hAnsi="Times New Roman"/>
          <w:sz w:val="24"/>
        </w:rPr>
        <w:t>и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447C00" w:rsidRPr="00447C00" w:rsidRDefault="00447C00" w:rsidP="00447C00">
      <w:pPr>
        <w:widowControl/>
        <w:tabs>
          <w:tab w:val="left" w:pos="1134"/>
        </w:tabs>
        <w:suppressAutoHyphens w:val="0"/>
        <w:autoSpaceDN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Pr="00447C00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  <w:r w:rsidRPr="00447C00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  <w:t xml:space="preserve">Требования к упаковке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изделий</w:t>
      </w:r>
      <w:r w:rsidRPr="00447C00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:</w:t>
      </w:r>
    </w:p>
    <w:p w:rsidR="00447C00" w:rsidRDefault="00447C00" w:rsidP="00447C0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</w:rPr>
      </w:pP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Упаковка 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изделий должна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обеспечив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ать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их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защиту от повреждений, порчи (изнашивания), или загрязнения, от воздействия механических и климатических факторов во время хранения и транспортирования к месту использования по назначению. </w:t>
      </w:r>
    </w:p>
    <w:p w:rsidR="006122D6" w:rsidRPr="006122D6" w:rsidRDefault="0011079A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устанавливается со дня выдачи готов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ого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я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Получателю.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141DCB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7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  <w:r w:rsidR="00141DCB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533C6" w:rsidRPr="00D533C6" w:rsidRDefault="00D533C6" w:rsidP="00D533C6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D533C6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Срок выполнения гарантийного ремонта (замены) не должен превышать </w:t>
      </w:r>
      <w:r w:rsidR="000205F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45</w:t>
      </w: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дней со дня обращения Получателя </w:t>
      </w:r>
      <w:r w:rsidR="00141DCB"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(</w:t>
      </w:r>
      <w:r w:rsidR="00141DC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Государственного з</w:t>
      </w: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аказчика) к Исполнителю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sectPr w:rsidR="00BC7088" w:rsidSect="009A1C13">
      <w:pgSz w:w="11906" w:h="16838"/>
      <w:pgMar w:top="709" w:right="709" w:bottom="284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05F6"/>
    <w:rsid w:val="00022418"/>
    <w:rsid w:val="00044054"/>
    <w:rsid w:val="00044F06"/>
    <w:rsid w:val="00055EBC"/>
    <w:rsid w:val="0007522B"/>
    <w:rsid w:val="00076745"/>
    <w:rsid w:val="00090D1C"/>
    <w:rsid w:val="000932AE"/>
    <w:rsid w:val="000A5991"/>
    <w:rsid w:val="000B69ED"/>
    <w:rsid w:val="000F490E"/>
    <w:rsid w:val="001055F9"/>
    <w:rsid w:val="0011079A"/>
    <w:rsid w:val="00111851"/>
    <w:rsid w:val="00122B3C"/>
    <w:rsid w:val="00141DCB"/>
    <w:rsid w:val="00153AD4"/>
    <w:rsid w:val="00157E2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659D"/>
    <w:rsid w:val="001E40B2"/>
    <w:rsid w:val="001F27F8"/>
    <w:rsid w:val="00231304"/>
    <w:rsid w:val="00233BD5"/>
    <w:rsid w:val="00237A34"/>
    <w:rsid w:val="0026081D"/>
    <w:rsid w:val="002748B7"/>
    <w:rsid w:val="00277718"/>
    <w:rsid w:val="002C05D8"/>
    <w:rsid w:val="002C3B9A"/>
    <w:rsid w:val="002D6C42"/>
    <w:rsid w:val="002D7A96"/>
    <w:rsid w:val="003057E6"/>
    <w:rsid w:val="00307C11"/>
    <w:rsid w:val="0031224B"/>
    <w:rsid w:val="00350DEF"/>
    <w:rsid w:val="00355808"/>
    <w:rsid w:val="00360698"/>
    <w:rsid w:val="0036293D"/>
    <w:rsid w:val="00370463"/>
    <w:rsid w:val="00377F88"/>
    <w:rsid w:val="003828C5"/>
    <w:rsid w:val="003950E7"/>
    <w:rsid w:val="003B1E25"/>
    <w:rsid w:val="003C4FB2"/>
    <w:rsid w:val="003E0129"/>
    <w:rsid w:val="003F1189"/>
    <w:rsid w:val="00401CA8"/>
    <w:rsid w:val="0041402D"/>
    <w:rsid w:val="00424327"/>
    <w:rsid w:val="004248E2"/>
    <w:rsid w:val="00424E13"/>
    <w:rsid w:val="004443C3"/>
    <w:rsid w:val="00447C00"/>
    <w:rsid w:val="004515C7"/>
    <w:rsid w:val="00451A3E"/>
    <w:rsid w:val="00454DB9"/>
    <w:rsid w:val="004731E7"/>
    <w:rsid w:val="004805D1"/>
    <w:rsid w:val="00486274"/>
    <w:rsid w:val="0049611A"/>
    <w:rsid w:val="004B0437"/>
    <w:rsid w:val="004B174C"/>
    <w:rsid w:val="004C0E4B"/>
    <w:rsid w:val="004C1132"/>
    <w:rsid w:val="004E1870"/>
    <w:rsid w:val="00510337"/>
    <w:rsid w:val="0051765D"/>
    <w:rsid w:val="0054690C"/>
    <w:rsid w:val="00546AEA"/>
    <w:rsid w:val="00555D6D"/>
    <w:rsid w:val="00563E8C"/>
    <w:rsid w:val="005708AB"/>
    <w:rsid w:val="005918B2"/>
    <w:rsid w:val="005B5C13"/>
    <w:rsid w:val="005B5CEC"/>
    <w:rsid w:val="005D60D1"/>
    <w:rsid w:val="005F6A8B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259F"/>
    <w:rsid w:val="006D6316"/>
    <w:rsid w:val="006D6A97"/>
    <w:rsid w:val="006F4527"/>
    <w:rsid w:val="006F573A"/>
    <w:rsid w:val="00735C46"/>
    <w:rsid w:val="007442E4"/>
    <w:rsid w:val="00752B5D"/>
    <w:rsid w:val="007619E1"/>
    <w:rsid w:val="00786DBB"/>
    <w:rsid w:val="007C3937"/>
    <w:rsid w:val="007E6812"/>
    <w:rsid w:val="007E6A46"/>
    <w:rsid w:val="007E7838"/>
    <w:rsid w:val="007F5D9F"/>
    <w:rsid w:val="00820995"/>
    <w:rsid w:val="00822020"/>
    <w:rsid w:val="0082469A"/>
    <w:rsid w:val="008505CF"/>
    <w:rsid w:val="00850B08"/>
    <w:rsid w:val="00851A30"/>
    <w:rsid w:val="008748F9"/>
    <w:rsid w:val="0087623F"/>
    <w:rsid w:val="008813E3"/>
    <w:rsid w:val="008A081A"/>
    <w:rsid w:val="008A35B4"/>
    <w:rsid w:val="008B1D85"/>
    <w:rsid w:val="008C00D5"/>
    <w:rsid w:val="008C1D24"/>
    <w:rsid w:val="008C4B58"/>
    <w:rsid w:val="008F10A6"/>
    <w:rsid w:val="008F1D6D"/>
    <w:rsid w:val="00901FD9"/>
    <w:rsid w:val="009100FB"/>
    <w:rsid w:val="00911E3C"/>
    <w:rsid w:val="00913392"/>
    <w:rsid w:val="0093125C"/>
    <w:rsid w:val="00943A14"/>
    <w:rsid w:val="00947793"/>
    <w:rsid w:val="0095047D"/>
    <w:rsid w:val="0097193D"/>
    <w:rsid w:val="00976BA9"/>
    <w:rsid w:val="00982558"/>
    <w:rsid w:val="00982F8C"/>
    <w:rsid w:val="009A1C13"/>
    <w:rsid w:val="009B0AB7"/>
    <w:rsid w:val="009B5D74"/>
    <w:rsid w:val="009C24F6"/>
    <w:rsid w:val="009D3E9B"/>
    <w:rsid w:val="00A12CBD"/>
    <w:rsid w:val="00A211C9"/>
    <w:rsid w:val="00A31128"/>
    <w:rsid w:val="00A32058"/>
    <w:rsid w:val="00A410D4"/>
    <w:rsid w:val="00A41603"/>
    <w:rsid w:val="00A5518F"/>
    <w:rsid w:val="00A70960"/>
    <w:rsid w:val="00A71B01"/>
    <w:rsid w:val="00A921B0"/>
    <w:rsid w:val="00AD0E98"/>
    <w:rsid w:val="00AD11B5"/>
    <w:rsid w:val="00AF5564"/>
    <w:rsid w:val="00B01EAD"/>
    <w:rsid w:val="00B342A5"/>
    <w:rsid w:val="00B61BE2"/>
    <w:rsid w:val="00B65DF9"/>
    <w:rsid w:val="00B73B28"/>
    <w:rsid w:val="00B8029D"/>
    <w:rsid w:val="00B9259D"/>
    <w:rsid w:val="00BA0D5D"/>
    <w:rsid w:val="00BA2457"/>
    <w:rsid w:val="00BB2891"/>
    <w:rsid w:val="00BB58F0"/>
    <w:rsid w:val="00BD1653"/>
    <w:rsid w:val="00BE7CDD"/>
    <w:rsid w:val="00BF4C18"/>
    <w:rsid w:val="00BF5A0B"/>
    <w:rsid w:val="00C01C1F"/>
    <w:rsid w:val="00C06C01"/>
    <w:rsid w:val="00C10D1D"/>
    <w:rsid w:val="00C244E3"/>
    <w:rsid w:val="00C3253E"/>
    <w:rsid w:val="00C37AEE"/>
    <w:rsid w:val="00C456FF"/>
    <w:rsid w:val="00C45C86"/>
    <w:rsid w:val="00C6156E"/>
    <w:rsid w:val="00C66C27"/>
    <w:rsid w:val="00C67613"/>
    <w:rsid w:val="00C84615"/>
    <w:rsid w:val="00C94ADB"/>
    <w:rsid w:val="00CA1D7D"/>
    <w:rsid w:val="00CA5600"/>
    <w:rsid w:val="00CC4C04"/>
    <w:rsid w:val="00CE1094"/>
    <w:rsid w:val="00CF120C"/>
    <w:rsid w:val="00D03C55"/>
    <w:rsid w:val="00D071AC"/>
    <w:rsid w:val="00D14566"/>
    <w:rsid w:val="00D212E1"/>
    <w:rsid w:val="00D21F6D"/>
    <w:rsid w:val="00D344AC"/>
    <w:rsid w:val="00D533C6"/>
    <w:rsid w:val="00D61752"/>
    <w:rsid w:val="00D66D39"/>
    <w:rsid w:val="00D7365B"/>
    <w:rsid w:val="00D97217"/>
    <w:rsid w:val="00DB24A6"/>
    <w:rsid w:val="00DB4D90"/>
    <w:rsid w:val="00DB706A"/>
    <w:rsid w:val="00DD4368"/>
    <w:rsid w:val="00DD5F9B"/>
    <w:rsid w:val="00DE186D"/>
    <w:rsid w:val="00E05163"/>
    <w:rsid w:val="00E05735"/>
    <w:rsid w:val="00E1131F"/>
    <w:rsid w:val="00E25183"/>
    <w:rsid w:val="00E5364A"/>
    <w:rsid w:val="00E545FC"/>
    <w:rsid w:val="00E80156"/>
    <w:rsid w:val="00E8165D"/>
    <w:rsid w:val="00E93DCE"/>
    <w:rsid w:val="00E96ADB"/>
    <w:rsid w:val="00EB0FE7"/>
    <w:rsid w:val="00EC15B2"/>
    <w:rsid w:val="00F278FA"/>
    <w:rsid w:val="00F30D4D"/>
    <w:rsid w:val="00F41B52"/>
    <w:rsid w:val="00F46699"/>
    <w:rsid w:val="00F52A30"/>
    <w:rsid w:val="00F6764B"/>
    <w:rsid w:val="00F94B2E"/>
    <w:rsid w:val="00FA19A2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20CD-FD76-4830-BC4F-A3FACDE4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148</cp:revision>
  <cp:lastPrinted>2023-04-20T02:14:00Z</cp:lastPrinted>
  <dcterms:created xsi:type="dcterms:W3CDTF">2022-02-07T06:16:00Z</dcterms:created>
  <dcterms:modified xsi:type="dcterms:W3CDTF">2024-03-13T06:02:00Z</dcterms:modified>
</cp:coreProperties>
</file>