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A9" w:rsidRDefault="008567A9" w:rsidP="008567A9">
      <w:pPr>
        <w:jc w:val="right"/>
        <w:rPr>
          <w:b/>
        </w:rPr>
      </w:pPr>
      <w:r w:rsidRPr="008567A9">
        <w:rPr>
          <w:b/>
        </w:rPr>
        <w:t>Приложение № 1 к извещению</w:t>
      </w:r>
    </w:p>
    <w:p w:rsidR="008567A9" w:rsidRDefault="008567A9" w:rsidP="008567A9">
      <w:pPr>
        <w:jc w:val="right"/>
        <w:rPr>
          <w:b/>
        </w:rPr>
      </w:pPr>
    </w:p>
    <w:p w:rsidR="00231A0A" w:rsidRPr="00D25C58" w:rsidRDefault="00231A0A" w:rsidP="00231A0A">
      <w:pPr>
        <w:jc w:val="center"/>
        <w:rPr>
          <w:b/>
          <w:szCs w:val="22"/>
          <w:lang w:eastAsia="en-US"/>
        </w:rPr>
      </w:pPr>
      <w:r>
        <w:rPr>
          <w:b/>
        </w:rPr>
        <w:t>Описание объекта закупки</w:t>
      </w:r>
    </w:p>
    <w:p w:rsidR="00231A0A" w:rsidRPr="00733F88" w:rsidRDefault="00231A0A" w:rsidP="00231A0A">
      <w:pPr>
        <w:jc w:val="center"/>
        <w:rPr>
          <w:b/>
        </w:rPr>
      </w:pPr>
      <w:r w:rsidRPr="00733F88">
        <w:rPr>
          <w:b/>
          <w:kern w:val="1"/>
          <w:sz w:val="22"/>
          <w:szCs w:val="22"/>
        </w:rPr>
        <w:t xml:space="preserve">на поставку в 2023 году ходунков </w:t>
      </w:r>
      <w:r>
        <w:rPr>
          <w:b/>
          <w:kern w:val="1"/>
          <w:sz w:val="22"/>
          <w:szCs w:val="22"/>
        </w:rPr>
        <w:t>д</w:t>
      </w:r>
      <w:r w:rsidRPr="00733F88">
        <w:rPr>
          <w:b/>
          <w:kern w:val="1"/>
          <w:sz w:val="22"/>
          <w:szCs w:val="22"/>
        </w:rPr>
        <w:t>ля обеспечения инвалидов и детей-инвалидов</w:t>
      </w:r>
    </w:p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1696"/>
        <w:gridCol w:w="7304"/>
        <w:gridCol w:w="1560"/>
      </w:tblGrid>
      <w:tr w:rsidR="00231A0A" w:rsidRPr="00A86DB7" w:rsidTr="00E955BA">
        <w:trPr>
          <w:trHeight w:val="2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</w:tcMar>
          </w:tcPr>
          <w:p w:rsidR="00231A0A" w:rsidRPr="00A86DB7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lang w:eastAsia="ru-RU"/>
              </w:rPr>
            </w:pPr>
            <w:r w:rsidRPr="00A86DB7">
              <w:rPr>
                <w:lang w:eastAsia="ru-RU"/>
              </w:rPr>
              <w:t>Наименование закупаемого товара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</w:tcMar>
          </w:tcPr>
          <w:p w:rsidR="00231A0A" w:rsidRPr="00A86DB7" w:rsidRDefault="00231A0A" w:rsidP="00E955BA">
            <w:pPr>
              <w:suppressAutoHyphens w:val="0"/>
              <w:jc w:val="center"/>
              <w:rPr>
                <w:lang w:eastAsia="ru-RU"/>
              </w:rPr>
            </w:pPr>
            <w:r w:rsidRPr="00A86DB7">
              <w:rPr>
                <w:lang w:eastAsia="ru-RU"/>
              </w:rPr>
              <w:t>Описание функциональных и технических характеристик</w:t>
            </w:r>
          </w:p>
          <w:p w:rsidR="00231A0A" w:rsidRPr="00A86DB7" w:rsidRDefault="00231A0A" w:rsidP="00E955BA">
            <w:pPr>
              <w:suppressAutoHyphens w:val="0"/>
              <w:jc w:val="center"/>
              <w:rPr>
                <w:lang w:eastAsia="ru-RU"/>
              </w:rPr>
            </w:pPr>
            <w:r w:rsidRPr="00A86DB7">
              <w:rPr>
                <w:lang w:eastAsia="ru-RU"/>
              </w:rPr>
              <w:t>закупаемого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231A0A" w:rsidRPr="00A86DB7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lang w:eastAsia="ru-RU"/>
              </w:rPr>
            </w:pPr>
            <w:r w:rsidRPr="00A86DB7">
              <w:rPr>
                <w:lang w:eastAsia="ru-RU"/>
              </w:rPr>
              <w:t>Количество закупаемого товара (штук)</w:t>
            </w:r>
          </w:p>
        </w:tc>
      </w:tr>
      <w:tr w:rsidR="00231A0A" w:rsidRPr="00A86DB7" w:rsidTr="008567A9">
        <w:trPr>
          <w:trHeight w:val="4172"/>
          <w:jc w:val="center"/>
        </w:trPr>
        <w:tc>
          <w:tcPr>
            <w:tcW w:w="1696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231A0A" w:rsidRDefault="00231A0A" w:rsidP="00E955BA">
            <w:pPr>
              <w:suppressAutoHyphens w:val="0"/>
              <w:spacing w:line="102" w:lineRule="atLeast"/>
              <w:jc w:val="center"/>
              <w:rPr>
                <w:lang w:eastAsia="ru-RU"/>
              </w:rPr>
            </w:pPr>
            <w:r w:rsidRPr="00A86DB7">
              <w:rPr>
                <w:lang w:eastAsia="ru-RU"/>
              </w:rPr>
              <w:t xml:space="preserve">Ходунки с </w:t>
            </w:r>
            <w:r>
              <w:rPr>
                <w:lang w:eastAsia="ru-RU"/>
              </w:rPr>
              <w:t>опорой на предплечье</w:t>
            </w:r>
          </w:p>
          <w:p w:rsidR="00231A0A" w:rsidRPr="00A86DB7" w:rsidRDefault="00231A0A" w:rsidP="00E955BA">
            <w:pPr>
              <w:suppressAutoHyphens w:val="0"/>
              <w:spacing w:line="102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6-10-03</w:t>
            </w:r>
          </w:p>
        </w:tc>
        <w:tc>
          <w:tcPr>
            <w:tcW w:w="7304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231A0A" w:rsidRPr="003A3955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lang w:eastAsia="ru-RU"/>
              </w:rPr>
              <w:t xml:space="preserve">Ходунки должны иметь облегченный корпус из металлического сплава. При передвижении в таких ходунках пациент опирается на предплечья, за счет чего снижается нагрузка на позвоночник и ноги. Высота ходунков регулируется. </w:t>
            </w:r>
          </w:p>
          <w:p w:rsidR="00231A0A" w:rsidRPr="003A3955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lang w:eastAsia="ru-RU"/>
              </w:rPr>
              <w:t>Максимальная высота не менее 1250 мм, не более 1300 мм</w:t>
            </w:r>
            <w:r>
              <w:rPr>
                <w:lang w:eastAsia="ru-RU"/>
              </w:rPr>
              <w:t>.</w:t>
            </w:r>
            <w:r w:rsidRPr="003A3955">
              <w:rPr>
                <w:bCs/>
                <w:i/>
                <w:lang w:eastAsia="ru-RU"/>
              </w:rPr>
              <w:t xml:space="preserve"> (участник в своей заявке должен конкретизировать данный показатель).</w:t>
            </w:r>
          </w:p>
          <w:p w:rsidR="00231A0A" w:rsidRPr="003A3955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lang w:eastAsia="ru-RU"/>
              </w:rPr>
              <w:t>Наличие:</w:t>
            </w:r>
          </w:p>
          <w:p w:rsidR="00231A0A" w:rsidRPr="003A3955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lang w:eastAsia="ru-RU"/>
              </w:rPr>
              <w:t>- мягкие опоры под локоть;</w:t>
            </w:r>
          </w:p>
          <w:p w:rsidR="00231A0A" w:rsidRPr="003A3955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lang w:eastAsia="ru-RU"/>
              </w:rPr>
              <w:t>-четыре колеса;</w:t>
            </w:r>
          </w:p>
          <w:p w:rsidR="00231A0A" w:rsidRPr="003A3955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lang w:eastAsia="ru-RU"/>
              </w:rPr>
              <w:t>-тормозная система.</w:t>
            </w:r>
          </w:p>
          <w:p w:rsidR="00231A0A" w:rsidRPr="003A3955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lang w:eastAsia="ru-RU"/>
              </w:rPr>
              <w:t>Ширина не менее 590 мм,</w:t>
            </w:r>
            <w:r w:rsidRPr="003A3955">
              <w:rPr>
                <w:bCs/>
                <w:i/>
                <w:lang w:eastAsia="ru-RU"/>
              </w:rPr>
              <w:t xml:space="preserve"> </w:t>
            </w:r>
            <w:r w:rsidRPr="003A3955">
              <w:rPr>
                <w:lang w:eastAsia="ru-RU"/>
              </w:rPr>
              <w:t xml:space="preserve">не более 660 мм </w:t>
            </w:r>
            <w:r w:rsidRPr="003A3955">
              <w:rPr>
                <w:bCs/>
                <w:i/>
                <w:lang w:eastAsia="ru-RU"/>
              </w:rPr>
              <w:t>(участник в своей заявке должен конкретизировать данный показатель)</w:t>
            </w:r>
            <w:r w:rsidRPr="003A3955">
              <w:rPr>
                <w:lang w:eastAsia="ru-RU"/>
              </w:rPr>
              <w:t xml:space="preserve">. </w:t>
            </w:r>
          </w:p>
          <w:p w:rsidR="00231A0A" w:rsidRPr="00A86DB7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lang w:eastAsia="ru-RU"/>
              </w:rPr>
              <w:t>Максимальная допустимая нагрузка не менее - 100 кг, не более 110 кг</w:t>
            </w:r>
            <w:r w:rsidRPr="003A3955">
              <w:rPr>
                <w:bCs/>
                <w:i/>
                <w:lang w:eastAsia="ru-RU"/>
              </w:rPr>
              <w:t xml:space="preserve"> (участник в своей заявке должен конкретизировать данный показатель).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231A0A" w:rsidRPr="00A86DB7" w:rsidRDefault="00B76876" w:rsidP="00E955BA">
            <w:pPr>
              <w:suppressAutoHyphens w:val="0"/>
              <w:spacing w:line="102" w:lineRule="atLeast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52</w:t>
            </w:r>
          </w:p>
        </w:tc>
      </w:tr>
      <w:tr w:rsidR="00231A0A" w:rsidRPr="00A86DB7" w:rsidTr="00E955BA">
        <w:trPr>
          <w:trHeight w:val="276"/>
          <w:jc w:val="center"/>
        </w:trPr>
        <w:tc>
          <w:tcPr>
            <w:tcW w:w="1696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231A0A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lang w:eastAsia="ru-RU"/>
              </w:rPr>
            </w:pPr>
            <w:r w:rsidRPr="00A86DB7">
              <w:rPr>
                <w:lang w:eastAsia="ru-RU"/>
              </w:rPr>
              <w:t xml:space="preserve">Ходунки с </w:t>
            </w:r>
            <w:r>
              <w:rPr>
                <w:lang w:eastAsia="ru-RU"/>
              </w:rPr>
              <w:t>подмышечной опорой</w:t>
            </w:r>
          </w:p>
          <w:p w:rsidR="00231A0A" w:rsidRPr="00A86DB7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6-10-04</w:t>
            </w:r>
          </w:p>
        </w:tc>
        <w:tc>
          <w:tcPr>
            <w:tcW w:w="7304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231A0A" w:rsidRPr="003A3955" w:rsidRDefault="00231A0A" w:rsidP="00E955BA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Ходунки должны иметь облегченный корпус из металлического сплава. Ходунки с подмышечной опорой обеспечивают пациентам устойчивость при ходьбе. Подмышечные стойки снабжены мягкими валиками, предотвращающими травмы подмышечной впадины. Высота ходунков регулируется.</w:t>
            </w:r>
          </w:p>
          <w:p w:rsidR="00231A0A" w:rsidRPr="003A3955" w:rsidRDefault="00231A0A" w:rsidP="00E955BA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 xml:space="preserve">Максимальная высота не менее 1400 мм, не более 1450 мм </w:t>
            </w:r>
            <w:r w:rsidRPr="003A3955">
              <w:rPr>
                <w:rFonts w:eastAsia="Calibri"/>
                <w:bCs/>
                <w:i/>
                <w:spacing w:val="-4"/>
                <w:lang w:eastAsia="en-US"/>
              </w:rPr>
              <w:t>(участник в своей заявке должен конкретизировать данный показатель)</w:t>
            </w:r>
            <w:r w:rsidRPr="003A3955">
              <w:rPr>
                <w:rFonts w:eastAsia="Calibri"/>
                <w:lang w:eastAsia="en-US"/>
              </w:rPr>
              <w:t>.</w:t>
            </w:r>
          </w:p>
          <w:p w:rsidR="00231A0A" w:rsidRPr="003A3955" w:rsidRDefault="00231A0A" w:rsidP="00E955BA">
            <w:pPr>
              <w:keepNext/>
              <w:shd w:val="clear" w:color="auto" w:fill="FFFFFF"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Наличие:</w:t>
            </w:r>
          </w:p>
          <w:p w:rsidR="00231A0A" w:rsidRPr="003A3955" w:rsidRDefault="00231A0A" w:rsidP="00E955BA">
            <w:pPr>
              <w:keepNext/>
              <w:shd w:val="clear" w:color="auto" w:fill="FFFFFF"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-четыре колеса;</w:t>
            </w:r>
          </w:p>
          <w:p w:rsidR="00231A0A" w:rsidRPr="003A3955" w:rsidRDefault="00231A0A" w:rsidP="00E955BA">
            <w:pPr>
              <w:keepNext/>
              <w:shd w:val="clear" w:color="auto" w:fill="FFFFFF"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- тормозная система.</w:t>
            </w:r>
          </w:p>
          <w:p w:rsidR="00231A0A" w:rsidRPr="003A3955" w:rsidRDefault="00231A0A" w:rsidP="00E955BA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 xml:space="preserve">Ширина между поручнями не менее 460 мм, не более 550 мм, </w:t>
            </w:r>
            <w:r w:rsidRPr="003A3955">
              <w:rPr>
                <w:rFonts w:eastAsia="Calibri"/>
                <w:bCs/>
                <w:i/>
                <w:spacing w:val="-4"/>
                <w:lang w:eastAsia="en-US"/>
              </w:rPr>
              <w:t>(участник в своей заявке должен конкретизировать данный показатель)</w:t>
            </w:r>
            <w:r w:rsidRPr="003A3955">
              <w:rPr>
                <w:rFonts w:eastAsia="Calibri"/>
                <w:lang w:eastAsia="en-US"/>
              </w:rPr>
              <w:t>.</w:t>
            </w:r>
          </w:p>
          <w:p w:rsidR="00231A0A" w:rsidRPr="003A3955" w:rsidRDefault="00231A0A" w:rsidP="00E955BA">
            <w:pPr>
              <w:keepNext/>
              <w:shd w:val="clear" w:color="auto" w:fill="FFFFFF"/>
              <w:tabs>
                <w:tab w:val="left" w:pos="9214"/>
              </w:tabs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Масса не более 12 кг.</w:t>
            </w:r>
            <w:r w:rsidRPr="003A3955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</w:t>
            </w:r>
            <w:r w:rsidRPr="003A3955">
              <w:rPr>
                <w:rFonts w:eastAsia="Calibri"/>
                <w:lang w:eastAsia="en-US"/>
              </w:rPr>
              <w:t>.</w:t>
            </w:r>
          </w:p>
          <w:p w:rsidR="00231A0A" w:rsidRPr="00A86DB7" w:rsidRDefault="00231A0A" w:rsidP="00E955BA">
            <w:pPr>
              <w:suppressAutoHyphens w:val="0"/>
              <w:rPr>
                <w:lang w:eastAsia="ru-RU"/>
              </w:rPr>
            </w:pPr>
            <w:r w:rsidRPr="003A3955">
              <w:rPr>
                <w:rFonts w:eastAsia="Calibri"/>
                <w:lang w:eastAsia="en-US"/>
              </w:rPr>
              <w:t>Грузоподъемность не менее 100 кг, не более 110кг</w:t>
            </w:r>
            <w:r w:rsidRPr="003A3955">
              <w:rPr>
                <w:rFonts w:eastAsia="Calibri"/>
                <w:bCs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</w:t>
            </w:r>
            <w:r w:rsidRPr="003A39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231A0A" w:rsidRPr="00A86DB7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40</w:t>
            </w:r>
          </w:p>
        </w:tc>
      </w:tr>
      <w:tr w:rsidR="00231A0A" w:rsidRPr="00A86DB7" w:rsidTr="00E955BA">
        <w:trPr>
          <w:trHeight w:val="276"/>
          <w:jc w:val="center"/>
        </w:trPr>
        <w:tc>
          <w:tcPr>
            <w:tcW w:w="1696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231A0A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Ходунки </w:t>
            </w:r>
            <w:proofErr w:type="spellStart"/>
            <w:r>
              <w:rPr>
                <w:lang w:eastAsia="ru-RU"/>
              </w:rPr>
              <w:t>роллаторы</w:t>
            </w:r>
            <w:proofErr w:type="spellEnd"/>
          </w:p>
          <w:p w:rsidR="00231A0A" w:rsidRPr="00A86DB7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6-10-05</w:t>
            </w:r>
          </w:p>
        </w:tc>
        <w:tc>
          <w:tcPr>
            <w:tcW w:w="7304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231A0A" w:rsidRPr="003A3955" w:rsidRDefault="00231A0A" w:rsidP="00E955BA">
            <w:pPr>
              <w:keepNext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Ходунки должны иметь облегченный корпус из металлического сплава. Ходунки создают дополнительную опору. Высота ходунков регулируется. Максимальная высота не менее 900 мм</w:t>
            </w:r>
            <w:r w:rsidRPr="003A3955">
              <w:rPr>
                <w:rFonts w:eastAsia="Calibri"/>
                <w:bCs/>
                <w:i/>
                <w:spacing w:val="-4"/>
                <w:lang w:eastAsia="en-US"/>
              </w:rPr>
              <w:t xml:space="preserve">, </w:t>
            </w:r>
            <w:r w:rsidRPr="003A3955">
              <w:rPr>
                <w:rFonts w:eastAsia="Calibri"/>
                <w:lang w:eastAsia="en-US"/>
              </w:rPr>
              <w:t xml:space="preserve">не более 980 мм </w:t>
            </w:r>
            <w:r w:rsidRPr="003A3955">
              <w:rPr>
                <w:rFonts w:eastAsia="Calibri"/>
                <w:bCs/>
                <w:i/>
                <w:spacing w:val="-4"/>
                <w:lang w:eastAsia="en-US"/>
              </w:rPr>
              <w:t>(участник в своей заявке должен конкретизировать данный показатель)</w:t>
            </w:r>
            <w:r w:rsidRPr="003A3955">
              <w:rPr>
                <w:rFonts w:eastAsia="Calibri"/>
                <w:lang w:eastAsia="en-US"/>
              </w:rPr>
              <w:t>.</w:t>
            </w:r>
          </w:p>
          <w:p w:rsidR="00231A0A" w:rsidRPr="003A3955" w:rsidRDefault="00231A0A" w:rsidP="00E955BA">
            <w:pPr>
              <w:keepNext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Наличие:</w:t>
            </w:r>
          </w:p>
          <w:p w:rsidR="00231A0A" w:rsidRPr="003A3955" w:rsidRDefault="00231A0A" w:rsidP="00E955BA">
            <w:pPr>
              <w:keepNext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-тормозная система;</w:t>
            </w:r>
          </w:p>
          <w:p w:rsidR="00231A0A" w:rsidRPr="003A3955" w:rsidRDefault="00231A0A" w:rsidP="00E955BA">
            <w:pPr>
              <w:keepNext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- четыре колеса;</w:t>
            </w:r>
          </w:p>
          <w:p w:rsidR="00231A0A" w:rsidRPr="003A3955" w:rsidRDefault="00231A0A" w:rsidP="00E955BA">
            <w:pPr>
              <w:keepNext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 xml:space="preserve">-сидение для отдыха с опорой для спины </w:t>
            </w:r>
          </w:p>
          <w:p w:rsidR="00231A0A" w:rsidRPr="003A3955" w:rsidRDefault="00231A0A" w:rsidP="00E955BA">
            <w:pPr>
              <w:keepNext/>
              <w:suppressAutoHyphens w:val="0"/>
              <w:ind w:left="-61" w:right="-14" w:firstLine="5"/>
              <w:jc w:val="both"/>
              <w:rPr>
                <w:rFonts w:eastAsia="Calibri"/>
                <w:lang w:eastAsia="en-US"/>
              </w:rPr>
            </w:pPr>
            <w:r w:rsidRPr="003A3955">
              <w:rPr>
                <w:rFonts w:eastAsia="Calibri"/>
                <w:lang w:eastAsia="en-US"/>
              </w:rPr>
              <w:t>Ширина не менее 55 см</w:t>
            </w:r>
            <w:r w:rsidRPr="003A3955">
              <w:rPr>
                <w:rFonts w:eastAsia="Calibri"/>
                <w:i/>
                <w:spacing w:val="-4"/>
                <w:lang w:eastAsia="en-US"/>
              </w:rPr>
              <w:t xml:space="preserve">, </w:t>
            </w:r>
            <w:r w:rsidRPr="003A3955">
              <w:rPr>
                <w:rFonts w:eastAsia="Calibri"/>
                <w:lang w:eastAsia="en-US"/>
              </w:rPr>
              <w:t>не более 60 см</w:t>
            </w:r>
            <w:r w:rsidRPr="003A3955">
              <w:rPr>
                <w:rFonts w:eastAsia="Calibri"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  <w:p w:rsidR="00231A0A" w:rsidRPr="00A86DB7" w:rsidRDefault="00231A0A" w:rsidP="00E955BA">
            <w:pPr>
              <w:suppressAutoHyphens w:val="0"/>
              <w:spacing w:line="102" w:lineRule="atLeast"/>
              <w:jc w:val="both"/>
              <w:rPr>
                <w:lang w:eastAsia="ru-RU"/>
              </w:rPr>
            </w:pPr>
            <w:r w:rsidRPr="003A3955">
              <w:rPr>
                <w:rFonts w:eastAsia="Calibri"/>
                <w:lang w:eastAsia="en-US"/>
              </w:rPr>
              <w:t>Грузоподъемность не менее 100 кг.</w:t>
            </w:r>
            <w:r w:rsidRPr="003A3955">
              <w:rPr>
                <w:rFonts w:eastAsia="Calibri"/>
                <w:i/>
                <w:spacing w:val="-4"/>
                <w:lang w:eastAsia="en-US"/>
              </w:rPr>
              <w:t xml:space="preserve"> (участник в своей заявке должен конкретизировать данный показатель).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231A0A" w:rsidRPr="00A86DB7" w:rsidRDefault="00B76876" w:rsidP="00E955BA">
            <w:pPr>
              <w:suppressAutoHyphens w:val="0"/>
              <w:spacing w:before="100" w:beforeAutospacing="1" w:line="102" w:lineRule="atLeast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40</w:t>
            </w:r>
          </w:p>
        </w:tc>
      </w:tr>
      <w:tr w:rsidR="00231A0A" w:rsidRPr="00A86DB7" w:rsidTr="00E955BA">
        <w:trPr>
          <w:trHeight w:val="133"/>
          <w:jc w:val="center"/>
        </w:trPr>
        <w:tc>
          <w:tcPr>
            <w:tcW w:w="1696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231A0A" w:rsidRPr="00550DC0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b/>
                <w:lang w:eastAsia="ru-RU"/>
              </w:rPr>
            </w:pPr>
            <w:r w:rsidRPr="00550DC0">
              <w:rPr>
                <w:b/>
                <w:lang w:eastAsia="ru-RU"/>
              </w:rPr>
              <w:t>Итого:</w:t>
            </w:r>
          </w:p>
        </w:tc>
        <w:tc>
          <w:tcPr>
            <w:tcW w:w="7304" w:type="dxa"/>
            <w:tcBorders>
              <w:left w:val="single" w:sz="4" w:space="0" w:color="000000"/>
              <w:right w:val="nil"/>
            </w:tcBorders>
            <w:tcMar>
              <w:left w:w="70" w:type="dxa"/>
            </w:tcMar>
          </w:tcPr>
          <w:p w:rsidR="00231A0A" w:rsidRPr="00550DC0" w:rsidRDefault="00231A0A" w:rsidP="00E955BA">
            <w:pPr>
              <w:suppressAutoHyphens w:val="0"/>
              <w:spacing w:before="100" w:beforeAutospacing="1" w:line="102" w:lineRule="atLeast"/>
              <w:jc w:val="center"/>
              <w:rPr>
                <w:b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left w:w="70" w:type="dxa"/>
            </w:tcMar>
          </w:tcPr>
          <w:p w:rsidR="00231A0A" w:rsidRPr="005E6E1B" w:rsidRDefault="00231A0A" w:rsidP="00B76876">
            <w:pPr>
              <w:suppressAutoHyphens w:val="0"/>
              <w:spacing w:before="100" w:beforeAutospacing="1" w:line="102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B76876">
              <w:rPr>
                <w:b/>
                <w:lang w:eastAsia="ru-RU"/>
              </w:rPr>
              <w:t>32</w:t>
            </w:r>
          </w:p>
        </w:tc>
      </w:tr>
    </w:tbl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>Ходунки - приспособления, предназначенные для поддержания вертикального положения и ходьбы Получателей с выраженными нарушениями возможности передвижения. Ходунки не должны иметь трещин, отслоений покрытий и других дефектов внешнего вида при воздействии температуры воздуха от плюс 40 С до минус 40 С.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bCs/>
          <w:lang w:eastAsia="ru-RU"/>
        </w:rPr>
      </w:pPr>
      <w:r w:rsidRPr="006C7D44">
        <w:rPr>
          <w:lang w:eastAsia="ru-RU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изготовлен в соответствии действующими требованиями Государственного стандарта Российской Федерации (ГОСТ Р ИСО 9999-2019 «Вспомогательные средства для людей с ограничениями жизнедеятельности. Классификация и терминология», ГОСТ Р 51632-2021 «Технические средства реабилитации людей с ограничениями жизнедеятельности. Общие технические требования и методы испытаний»; ГОСТ Р 52770-2016 «Изделия медицинские. Требования безопасности. Методы санитарно-химических и токсикологических испытаний»; ГОСТ ИСО 10993-1-2021 «Изделия медицинские. Оценка биологического действия медицинских изделий. Часть 1. Оценка и исследования в процессе менеджмента риска»;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6C7D44">
        <w:rPr>
          <w:lang w:eastAsia="ru-RU"/>
        </w:rPr>
        <w:t>цитотоксичность</w:t>
      </w:r>
      <w:proofErr w:type="spellEnd"/>
      <w:r w:rsidRPr="006C7D44">
        <w:rPr>
          <w:lang w:eastAsia="ru-RU"/>
        </w:rPr>
        <w:t xml:space="preserve">: методы </w:t>
      </w:r>
      <w:proofErr w:type="spellStart"/>
      <w:r w:rsidRPr="006C7D44">
        <w:rPr>
          <w:lang w:eastAsia="ru-RU"/>
        </w:rPr>
        <w:t>in</w:t>
      </w:r>
      <w:proofErr w:type="spellEnd"/>
      <w:r w:rsidRPr="006C7D44">
        <w:rPr>
          <w:lang w:eastAsia="ru-RU"/>
        </w:rPr>
        <w:t xml:space="preserve"> </w:t>
      </w:r>
      <w:proofErr w:type="spellStart"/>
      <w:r w:rsidRPr="006C7D44">
        <w:rPr>
          <w:lang w:eastAsia="ru-RU"/>
        </w:rPr>
        <w:t>vitro</w:t>
      </w:r>
      <w:proofErr w:type="spellEnd"/>
      <w:r w:rsidRPr="006C7D44">
        <w:rPr>
          <w:lang w:eastAsia="ru-RU"/>
        </w:rPr>
        <w:t xml:space="preserve">»;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ИСО 11199-1-2015 «Средства вспомогательные для ходьбы, управляемые обеими руками. Требования и методы испытаний. Часть 1. Ходунки», ГОСТ Р 59436-2021 «Средства вспомогательные для ходьбы, управляемые обеими руками. Требования и методы испытаний. Часть 2. Ходунки </w:t>
      </w:r>
      <w:proofErr w:type="spellStart"/>
      <w:r w:rsidRPr="006C7D44">
        <w:rPr>
          <w:lang w:eastAsia="ru-RU"/>
        </w:rPr>
        <w:t>роллаторы</w:t>
      </w:r>
      <w:proofErr w:type="spellEnd"/>
      <w:r w:rsidRPr="006C7D44">
        <w:rPr>
          <w:lang w:eastAsia="ru-RU"/>
        </w:rPr>
        <w:t>). ГОСТ Р ИСО 11199-3-2010 Средства вспомогательные для ходьбы, управляемые обеими руками. Требования и методы испытаний. Часть 3. Ходунки с опорой на предплечье».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 xml:space="preserve">Товар не должен выделять при эксплуатации токсичных и агрессивных веществ. 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>Материалы, из которых изготавливается товар, не должны выделять токсичных веществ при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lastRenderedPageBreak/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>- безопасность для кожных покровов;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>- эстетичность;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>- комфортность;</w:t>
      </w:r>
    </w:p>
    <w:p w:rsidR="00231A0A" w:rsidRPr="006C7D44" w:rsidRDefault="00231A0A" w:rsidP="00231A0A">
      <w:pPr>
        <w:suppressAutoHyphens w:val="0"/>
        <w:spacing w:line="102" w:lineRule="atLeast"/>
        <w:ind w:firstLine="709"/>
        <w:jc w:val="both"/>
        <w:rPr>
          <w:lang w:eastAsia="ru-RU"/>
        </w:rPr>
      </w:pPr>
      <w:r w:rsidRPr="006C7D44">
        <w:rPr>
          <w:lang w:eastAsia="ru-RU"/>
        </w:rPr>
        <w:t>- простота пользования.</w:t>
      </w:r>
    </w:p>
    <w:p w:rsidR="005839E0" w:rsidRDefault="00FB4E94" w:rsidP="00231A0A">
      <w:r>
        <w:rPr>
          <w:lang w:eastAsia="ru-RU"/>
        </w:rPr>
        <w:t xml:space="preserve">           </w:t>
      </w:r>
      <w:r w:rsidR="00231A0A" w:rsidRPr="006C7D44">
        <w:rPr>
          <w:lang w:eastAsia="ru-RU"/>
        </w:rPr>
        <w:t>Упаковка товара должна обеспечивать его защиту от повреждений, порчи или загрязнения во время хранения и транспортирования к месту использования по назначению.</w:t>
      </w:r>
    </w:p>
    <w:sectPr w:rsidR="0058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87"/>
    <w:rsid w:val="00231A0A"/>
    <w:rsid w:val="005839E0"/>
    <w:rsid w:val="008567A9"/>
    <w:rsid w:val="008D6A87"/>
    <w:rsid w:val="00B76876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1BD6C-15CA-4760-9007-DB7054E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4763</Characters>
  <Application>Microsoft Office Word</Application>
  <DocSecurity>0</DocSecurity>
  <Lines>39</Lines>
  <Paragraphs>11</Paragraphs>
  <ScaleCrop>false</ScaleCrop>
  <Company>Фонд социального страхования Российской Федерации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Куклева Анастасия Александровна</cp:lastModifiedBy>
  <cp:revision>6</cp:revision>
  <dcterms:created xsi:type="dcterms:W3CDTF">2023-08-03T12:13:00Z</dcterms:created>
  <dcterms:modified xsi:type="dcterms:W3CDTF">2023-08-29T08:47:00Z</dcterms:modified>
</cp:coreProperties>
</file>