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CB2" w:rsidRDefault="00483CB2"/>
    <w:p w:rsidR="00483CB2" w:rsidRDefault="00483CB2" w:rsidP="00483CB2"/>
    <w:p w:rsidR="00483CB2" w:rsidRDefault="00483CB2" w:rsidP="00483CB2">
      <w:pPr>
        <w:widowControl w:val="0"/>
        <w:jc w:val="center"/>
        <w:rPr>
          <w:rFonts w:eastAsia="Calibri"/>
          <w:b/>
          <w:bCs/>
          <w:sz w:val="26"/>
          <w:szCs w:val="26"/>
          <w:lang w:eastAsia="ar-SA"/>
        </w:rPr>
      </w:pPr>
      <w:r w:rsidRPr="00EF5229">
        <w:rPr>
          <w:rFonts w:eastAsia="Calibri"/>
          <w:b/>
          <w:bCs/>
          <w:sz w:val="26"/>
          <w:szCs w:val="26"/>
          <w:lang w:eastAsia="ar-SA"/>
        </w:rPr>
        <w:t>Техническое задание</w:t>
      </w:r>
    </w:p>
    <w:p w:rsidR="00483CB2" w:rsidRDefault="00483CB2" w:rsidP="00483CB2">
      <w:pPr>
        <w:widowControl w:val="0"/>
        <w:jc w:val="center"/>
        <w:rPr>
          <w:rFonts w:eastAsia="Calibri"/>
          <w:b/>
          <w:bCs/>
          <w:sz w:val="26"/>
          <w:szCs w:val="26"/>
          <w:lang w:eastAsia="ar-SA"/>
        </w:rPr>
      </w:pPr>
      <w:r w:rsidRPr="00FB0D21">
        <w:rPr>
          <w:bCs/>
          <w:sz w:val="26"/>
          <w:szCs w:val="26"/>
        </w:rPr>
        <w:t>на поставку бензина и дизельного топлива для транспортных средств Государственного учреждения - Самарского регионального отделения Фонда социального страхования Российской Федер</w:t>
      </w:r>
      <w:r>
        <w:rPr>
          <w:bCs/>
          <w:sz w:val="26"/>
          <w:szCs w:val="26"/>
        </w:rPr>
        <w:t>ации и его филиалов в 2022 году</w:t>
      </w:r>
      <w:r w:rsidRPr="00EF5229">
        <w:rPr>
          <w:bCs/>
          <w:sz w:val="26"/>
          <w:szCs w:val="26"/>
        </w:rPr>
        <w:t>.</w:t>
      </w:r>
    </w:p>
    <w:p w:rsidR="00483CB2" w:rsidRDefault="00483CB2" w:rsidP="00483CB2">
      <w:pPr>
        <w:widowControl w:val="0"/>
        <w:jc w:val="center"/>
        <w:rPr>
          <w:rFonts w:eastAsia="Calibri"/>
          <w:b/>
          <w:bCs/>
          <w:sz w:val="26"/>
          <w:szCs w:val="26"/>
          <w:lang w:eastAsia="ar-SA"/>
        </w:rPr>
      </w:pPr>
    </w:p>
    <w:p w:rsidR="00483CB2" w:rsidRPr="005B2FDD" w:rsidRDefault="00483CB2" w:rsidP="00483CB2">
      <w:pPr>
        <w:widowControl w:val="0"/>
        <w:ind w:left="-284"/>
        <w:jc w:val="both"/>
        <w:rPr>
          <w:rFonts w:eastAsia="Calibri"/>
          <w:sz w:val="26"/>
          <w:szCs w:val="26"/>
          <w:u w:val="single"/>
          <w:lang w:eastAsia="ar-SA"/>
        </w:rPr>
      </w:pPr>
      <w:r w:rsidRPr="005B2FDD">
        <w:rPr>
          <w:rFonts w:eastAsia="Calibri"/>
          <w:b/>
          <w:sz w:val="26"/>
          <w:szCs w:val="26"/>
          <w:u w:val="single"/>
          <w:lang w:eastAsia="ar-SA"/>
        </w:rPr>
        <w:t>Заказчик:</w:t>
      </w:r>
      <w:r w:rsidRPr="005B2FDD">
        <w:rPr>
          <w:rFonts w:eastAsia="Calibri"/>
          <w:sz w:val="26"/>
          <w:szCs w:val="26"/>
          <w:lang w:eastAsia="ar-SA"/>
        </w:rPr>
        <w:t xml:space="preserve"> Государственное учреждение – Самарское региональное отделение Фонда социального страхования Российской Федерации, 443010 г. Самара, ул. Шостаковича, д. 3. Телефон 8(846) 333-26-36.  Адрес электронной почты: </w:t>
      </w:r>
      <w:hyperlink r:id="rId4" w:history="1">
        <w:r w:rsidRPr="005B2FDD">
          <w:rPr>
            <w:rFonts w:eastAsia="Calibri"/>
            <w:color w:val="0000FF"/>
            <w:sz w:val="26"/>
            <w:szCs w:val="26"/>
            <w:u w:val="single"/>
            <w:lang w:eastAsia="ar-SA"/>
          </w:rPr>
          <w:t>hoz@ro63.fss.ru</w:t>
        </w:r>
      </w:hyperlink>
    </w:p>
    <w:p w:rsidR="00483CB2" w:rsidRPr="005B2FDD" w:rsidRDefault="00483CB2" w:rsidP="00483CB2">
      <w:pPr>
        <w:widowControl w:val="0"/>
        <w:ind w:left="-284"/>
        <w:jc w:val="both"/>
        <w:rPr>
          <w:rFonts w:eastAsia="Calibri"/>
          <w:b/>
          <w:sz w:val="26"/>
          <w:szCs w:val="26"/>
          <w:u w:val="single"/>
          <w:lang w:eastAsia="ar-SA"/>
        </w:rPr>
      </w:pPr>
      <w:r w:rsidRPr="005B2FDD">
        <w:rPr>
          <w:rFonts w:eastAsia="Calibri"/>
          <w:b/>
          <w:sz w:val="26"/>
          <w:szCs w:val="26"/>
          <w:u w:val="single"/>
          <w:lang w:eastAsia="ar-SA"/>
        </w:rPr>
        <w:t>Предмет контракта</w:t>
      </w:r>
      <w:r w:rsidRPr="005B2FDD">
        <w:rPr>
          <w:rFonts w:eastAsia="Calibri"/>
          <w:sz w:val="26"/>
          <w:szCs w:val="26"/>
          <w:lang w:eastAsia="ar-SA"/>
        </w:rPr>
        <w:t>:</w:t>
      </w:r>
      <w:r w:rsidRPr="005B2FDD">
        <w:rPr>
          <w:rFonts w:eastAsia="Calibri"/>
          <w:b/>
          <w:sz w:val="26"/>
          <w:szCs w:val="26"/>
          <w:lang w:eastAsia="ar-SA"/>
        </w:rPr>
        <w:t xml:space="preserve"> </w:t>
      </w:r>
      <w:r w:rsidRPr="005B2FDD">
        <w:rPr>
          <w:rFonts w:eastAsia="Calibri"/>
          <w:sz w:val="26"/>
          <w:szCs w:val="26"/>
          <w:lang w:eastAsia="ar-SA"/>
        </w:rPr>
        <w:t>Поставка бензина и дизельного топлива для транспортных средств Государственного учреждения - Самарского регионального отделения Фонда социального страхования Российской Федерации в 202</w:t>
      </w:r>
      <w:r>
        <w:rPr>
          <w:rFonts w:eastAsia="Calibri"/>
          <w:sz w:val="26"/>
          <w:szCs w:val="26"/>
          <w:lang w:eastAsia="ar-SA"/>
        </w:rPr>
        <w:t>2</w:t>
      </w:r>
      <w:r w:rsidRPr="005B2FDD">
        <w:rPr>
          <w:rFonts w:eastAsia="Calibri"/>
          <w:sz w:val="26"/>
          <w:szCs w:val="26"/>
          <w:lang w:eastAsia="ar-SA"/>
        </w:rPr>
        <w:t xml:space="preserve"> году.</w:t>
      </w:r>
    </w:p>
    <w:p w:rsidR="00483CB2" w:rsidRPr="005B2FDD" w:rsidRDefault="00483CB2" w:rsidP="00483CB2">
      <w:pPr>
        <w:widowControl w:val="0"/>
        <w:ind w:left="-284"/>
        <w:jc w:val="both"/>
        <w:rPr>
          <w:rFonts w:eastAsia="Calibri"/>
          <w:b/>
          <w:sz w:val="26"/>
          <w:szCs w:val="26"/>
          <w:u w:val="single"/>
          <w:lang w:eastAsia="ar-SA"/>
        </w:rPr>
      </w:pPr>
      <w:r w:rsidRPr="005B2FDD">
        <w:rPr>
          <w:rFonts w:eastAsia="Calibri"/>
          <w:b/>
          <w:sz w:val="26"/>
          <w:szCs w:val="26"/>
          <w:u w:val="single"/>
          <w:lang w:eastAsia="ar-SA"/>
        </w:rPr>
        <w:t>Порядок формирования цены</w:t>
      </w:r>
      <w:r w:rsidRPr="005B2FDD">
        <w:rPr>
          <w:rFonts w:eastAsia="Calibri"/>
          <w:sz w:val="26"/>
          <w:szCs w:val="26"/>
          <w:lang w:eastAsia="ar-SA"/>
        </w:rPr>
        <w:t xml:space="preserve">: </w:t>
      </w:r>
      <w:r w:rsidRPr="005B2FDD">
        <w:rPr>
          <w:kern w:val="1"/>
          <w:sz w:val="26"/>
          <w:szCs w:val="26"/>
          <w:lang w:eastAsia="ar-SA"/>
        </w:rPr>
        <w:t>Цена контракта формируется с учетом общей стоимости поставляемого Товара, расходов на изготовление и обслуживание карт на каждую единицу автотехники, заправка которых будет осуществляться по контракту, расходов на обслуживание и других расходов, связанных с поставкой Товара, а также таможенных пошлин, страхования, налогов, сборов и других обязательных платежей, установленных законодательством Российской Федерации.</w:t>
      </w:r>
    </w:p>
    <w:p w:rsidR="00483CB2" w:rsidRDefault="00483CB2" w:rsidP="00483CB2">
      <w:pPr>
        <w:widowControl w:val="0"/>
        <w:tabs>
          <w:tab w:val="left" w:pos="426"/>
        </w:tabs>
        <w:autoSpaceDE w:val="0"/>
        <w:ind w:left="-284"/>
        <w:jc w:val="both"/>
        <w:rPr>
          <w:bCs/>
          <w:sz w:val="26"/>
          <w:szCs w:val="26"/>
          <w:lang w:eastAsia="ar-SA"/>
        </w:rPr>
      </w:pPr>
      <w:r w:rsidRPr="005B2FDD">
        <w:rPr>
          <w:b/>
          <w:sz w:val="26"/>
          <w:szCs w:val="26"/>
          <w:u w:val="single"/>
          <w:lang w:eastAsia="ar-SA"/>
        </w:rPr>
        <w:t>Сведения о валюте</w:t>
      </w:r>
      <w:r w:rsidRPr="005B2FDD">
        <w:rPr>
          <w:sz w:val="26"/>
          <w:szCs w:val="26"/>
          <w:lang w:eastAsia="ar-SA"/>
        </w:rPr>
        <w:t xml:space="preserve">: </w:t>
      </w:r>
      <w:r w:rsidRPr="005B2FDD">
        <w:rPr>
          <w:bCs/>
          <w:sz w:val="26"/>
          <w:szCs w:val="26"/>
          <w:lang w:eastAsia="ar-SA"/>
        </w:rPr>
        <w:t xml:space="preserve">расчет с Поставщиком за </w:t>
      </w:r>
      <w:r>
        <w:rPr>
          <w:bCs/>
          <w:sz w:val="26"/>
          <w:szCs w:val="26"/>
          <w:lang w:eastAsia="ar-SA"/>
        </w:rPr>
        <w:t>поставку товара</w:t>
      </w:r>
      <w:r w:rsidRPr="005B2FDD">
        <w:rPr>
          <w:bCs/>
          <w:sz w:val="26"/>
          <w:szCs w:val="26"/>
          <w:lang w:eastAsia="ar-SA"/>
        </w:rPr>
        <w:t xml:space="preserve"> осуществляется Заказчиком в рублях Российской Федерации.</w:t>
      </w:r>
    </w:p>
    <w:p w:rsidR="00483CB2" w:rsidRPr="005B2FDD" w:rsidRDefault="00483CB2" w:rsidP="00483CB2">
      <w:pPr>
        <w:widowControl w:val="0"/>
        <w:spacing w:line="276" w:lineRule="auto"/>
        <w:ind w:left="-284"/>
        <w:jc w:val="center"/>
        <w:rPr>
          <w:rFonts w:eastAsia="Calibri"/>
          <w:b/>
          <w:bCs/>
          <w:sz w:val="26"/>
          <w:szCs w:val="26"/>
          <w:lang w:eastAsia="ar-SA"/>
        </w:rPr>
      </w:pPr>
      <w:r w:rsidRPr="005B2FDD">
        <w:rPr>
          <w:rFonts w:eastAsia="Tahoma"/>
          <w:b/>
          <w:sz w:val="26"/>
          <w:szCs w:val="26"/>
          <w:u w:val="single"/>
          <w:lang w:eastAsia="ar-SA"/>
        </w:rPr>
        <w:t>Наименование и количество товара:</w:t>
      </w:r>
    </w:p>
    <w:p w:rsidR="00483CB2" w:rsidRDefault="00483CB2" w:rsidP="00483CB2">
      <w:pPr>
        <w:widowControl w:val="0"/>
        <w:jc w:val="right"/>
        <w:rPr>
          <w:bCs/>
          <w:sz w:val="26"/>
          <w:szCs w:val="26"/>
          <w:lang w:eastAsia="ar-SA"/>
        </w:rPr>
      </w:pPr>
    </w:p>
    <w:tbl>
      <w:tblPr>
        <w:tblW w:w="10330"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
        <w:gridCol w:w="1897"/>
        <w:gridCol w:w="3261"/>
        <w:gridCol w:w="1701"/>
        <w:gridCol w:w="1559"/>
        <w:gridCol w:w="1559"/>
      </w:tblGrid>
      <w:tr w:rsidR="002D52ED" w:rsidRPr="002C283C" w:rsidTr="00B94F72">
        <w:trPr>
          <w:trHeight w:val="710"/>
        </w:trPr>
        <w:tc>
          <w:tcPr>
            <w:tcW w:w="353" w:type="dxa"/>
            <w:shd w:val="clear" w:color="auto" w:fill="auto"/>
            <w:vAlign w:val="center"/>
          </w:tcPr>
          <w:p w:rsidR="002D52ED" w:rsidRPr="002C283C" w:rsidRDefault="002D52ED" w:rsidP="00B94F72">
            <w:pPr>
              <w:widowControl w:val="0"/>
              <w:jc w:val="center"/>
              <w:rPr>
                <w:b/>
                <w:bCs/>
              </w:rPr>
            </w:pPr>
            <w:r w:rsidRPr="002C283C">
              <w:rPr>
                <w:b/>
                <w:bCs/>
              </w:rPr>
              <w:t>№</w:t>
            </w:r>
          </w:p>
        </w:tc>
        <w:tc>
          <w:tcPr>
            <w:tcW w:w="1897" w:type="dxa"/>
          </w:tcPr>
          <w:p w:rsidR="002D52ED" w:rsidRPr="002C283C" w:rsidRDefault="002D52ED" w:rsidP="00B94F72">
            <w:pPr>
              <w:widowControl w:val="0"/>
              <w:jc w:val="center"/>
              <w:rPr>
                <w:b/>
                <w:bCs/>
              </w:rPr>
            </w:pPr>
            <w:r>
              <w:rPr>
                <w:b/>
                <w:bCs/>
              </w:rPr>
              <w:t>КТРУ и наименование</w:t>
            </w:r>
          </w:p>
        </w:tc>
        <w:tc>
          <w:tcPr>
            <w:tcW w:w="3261" w:type="dxa"/>
            <w:shd w:val="clear" w:color="auto" w:fill="auto"/>
            <w:vAlign w:val="center"/>
          </w:tcPr>
          <w:p w:rsidR="002D52ED" w:rsidRPr="002C283C" w:rsidRDefault="002D52ED" w:rsidP="00B94F72">
            <w:pPr>
              <w:widowControl w:val="0"/>
              <w:jc w:val="center"/>
              <w:rPr>
                <w:b/>
                <w:bCs/>
              </w:rPr>
            </w:pPr>
            <w:r w:rsidRPr="002C283C">
              <w:rPr>
                <w:b/>
                <w:bCs/>
              </w:rPr>
              <w:t>Наименование, характеристики, марка</w:t>
            </w:r>
          </w:p>
          <w:p w:rsidR="002D52ED" w:rsidRPr="002C283C" w:rsidRDefault="002D52ED" w:rsidP="00B94F72">
            <w:pPr>
              <w:widowControl w:val="0"/>
              <w:jc w:val="center"/>
              <w:rPr>
                <w:b/>
                <w:bCs/>
              </w:rPr>
            </w:pPr>
          </w:p>
        </w:tc>
        <w:tc>
          <w:tcPr>
            <w:tcW w:w="1701" w:type="dxa"/>
            <w:vAlign w:val="center"/>
          </w:tcPr>
          <w:p w:rsidR="002D52ED" w:rsidRPr="002C283C" w:rsidRDefault="002D52ED" w:rsidP="00B94F72">
            <w:pPr>
              <w:widowControl w:val="0"/>
              <w:jc w:val="center"/>
            </w:pPr>
            <w:r w:rsidRPr="002C283C">
              <w:rPr>
                <w:b/>
                <w:bCs/>
              </w:rPr>
              <w:t>Кол-во, л.</w:t>
            </w:r>
          </w:p>
        </w:tc>
        <w:tc>
          <w:tcPr>
            <w:tcW w:w="1559" w:type="dxa"/>
            <w:vAlign w:val="center"/>
          </w:tcPr>
          <w:p w:rsidR="002D52ED" w:rsidRPr="002C283C" w:rsidRDefault="002D52ED" w:rsidP="00B94F72">
            <w:pPr>
              <w:widowControl w:val="0"/>
              <w:jc w:val="center"/>
              <w:rPr>
                <w:b/>
                <w:bCs/>
              </w:rPr>
            </w:pPr>
            <w:r w:rsidRPr="002C283C">
              <w:rPr>
                <w:b/>
                <w:bCs/>
              </w:rPr>
              <w:t>Цена л., руб.(макс.)</w:t>
            </w:r>
          </w:p>
        </w:tc>
        <w:tc>
          <w:tcPr>
            <w:tcW w:w="1559" w:type="dxa"/>
            <w:vAlign w:val="center"/>
          </w:tcPr>
          <w:p w:rsidR="002D52ED" w:rsidRPr="002C283C" w:rsidRDefault="002D52ED" w:rsidP="00B94F72">
            <w:pPr>
              <w:widowControl w:val="0"/>
              <w:jc w:val="center"/>
              <w:rPr>
                <w:b/>
                <w:bCs/>
              </w:rPr>
            </w:pPr>
            <w:r w:rsidRPr="002C283C">
              <w:rPr>
                <w:b/>
                <w:bCs/>
              </w:rPr>
              <w:t>Сумма, руб.</w:t>
            </w:r>
          </w:p>
        </w:tc>
      </w:tr>
      <w:tr w:rsidR="002D52ED" w:rsidRPr="002C283C" w:rsidTr="00B94F72">
        <w:trPr>
          <w:trHeight w:val="439"/>
        </w:trPr>
        <w:tc>
          <w:tcPr>
            <w:tcW w:w="353" w:type="dxa"/>
            <w:shd w:val="clear" w:color="auto" w:fill="auto"/>
            <w:vAlign w:val="center"/>
          </w:tcPr>
          <w:p w:rsidR="002D52ED" w:rsidRPr="002C283C" w:rsidRDefault="002D52ED" w:rsidP="00B94F72">
            <w:pPr>
              <w:widowControl w:val="0"/>
              <w:jc w:val="center"/>
            </w:pPr>
            <w:r w:rsidRPr="002C283C">
              <w:rPr>
                <w:bCs/>
              </w:rPr>
              <w:t>1</w:t>
            </w:r>
          </w:p>
        </w:tc>
        <w:tc>
          <w:tcPr>
            <w:tcW w:w="1897" w:type="dxa"/>
          </w:tcPr>
          <w:p w:rsidR="002D52ED" w:rsidRPr="002C283C" w:rsidRDefault="002D52ED" w:rsidP="00B94F72">
            <w:pPr>
              <w:jc w:val="center"/>
              <w:rPr>
                <w:noProof/>
              </w:rPr>
            </w:pPr>
            <w:r w:rsidRPr="00B42BA0">
              <w:rPr>
                <w:noProof/>
              </w:rPr>
              <w:t>19.20.21.125-00001 - Бензин автомобильный АИ-92 экологического класса не ниже К5 (розничная реализация)</w:t>
            </w:r>
          </w:p>
        </w:tc>
        <w:tc>
          <w:tcPr>
            <w:tcW w:w="3261" w:type="dxa"/>
            <w:shd w:val="clear" w:color="auto" w:fill="auto"/>
            <w:vAlign w:val="center"/>
          </w:tcPr>
          <w:p w:rsidR="002D52ED" w:rsidRPr="002C283C" w:rsidRDefault="002D52ED" w:rsidP="00B94F72">
            <w:pPr>
              <w:jc w:val="center"/>
              <w:rPr>
                <w:noProof/>
              </w:rPr>
            </w:pPr>
            <w:r w:rsidRPr="002C283C">
              <w:rPr>
                <w:noProof/>
              </w:rPr>
              <w:t>Бензин АИ-92-К5</w:t>
            </w:r>
          </w:p>
          <w:p w:rsidR="002D52ED" w:rsidRDefault="002D52ED" w:rsidP="00B94F72">
            <w:pPr>
              <w:jc w:val="center"/>
              <w:rPr>
                <w:noProof/>
                <w:u w:val="single"/>
              </w:rPr>
            </w:pPr>
            <w:r w:rsidRPr="00B42BA0">
              <w:rPr>
                <w:noProof/>
                <w:u w:val="single"/>
              </w:rPr>
              <w:t xml:space="preserve">Октановое число бензина автомобильного по исследовательскому методу: 92 -  95; </w:t>
            </w:r>
          </w:p>
          <w:p w:rsidR="002D52ED" w:rsidRPr="00B42BA0" w:rsidRDefault="002D52ED" w:rsidP="00B94F72">
            <w:pPr>
              <w:jc w:val="center"/>
              <w:rPr>
                <w:noProof/>
                <w:u w:val="single"/>
              </w:rPr>
            </w:pPr>
            <w:r w:rsidRPr="00B42BA0">
              <w:rPr>
                <w:noProof/>
                <w:u w:val="single"/>
              </w:rPr>
              <w:t>Экологический класс: Не ниже К5.</w:t>
            </w:r>
          </w:p>
          <w:p w:rsidR="002D52ED" w:rsidRPr="002C283C" w:rsidRDefault="002D52ED" w:rsidP="00B94F72">
            <w:pPr>
              <w:jc w:val="center"/>
            </w:pPr>
            <w:r w:rsidRPr="00B42BA0">
              <w:rPr>
                <w:noProof/>
                <w:u w:val="single"/>
              </w:rPr>
              <w:t>ГОСТ 32513-2013</w:t>
            </w:r>
          </w:p>
        </w:tc>
        <w:tc>
          <w:tcPr>
            <w:tcW w:w="1701" w:type="dxa"/>
            <w:vAlign w:val="center"/>
          </w:tcPr>
          <w:p w:rsidR="002D52ED" w:rsidRPr="002C283C" w:rsidRDefault="00FD68CC" w:rsidP="00B94F72">
            <w:pPr>
              <w:jc w:val="center"/>
            </w:pPr>
            <w:r>
              <w:t>14225</w:t>
            </w:r>
          </w:p>
        </w:tc>
        <w:tc>
          <w:tcPr>
            <w:tcW w:w="1559" w:type="dxa"/>
            <w:vAlign w:val="center"/>
          </w:tcPr>
          <w:p w:rsidR="002D52ED" w:rsidRPr="002C283C" w:rsidRDefault="002D52ED" w:rsidP="00B94F72">
            <w:pPr>
              <w:jc w:val="center"/>
            </w:pPr>
          </w:p>
        </w:tc>
        <w:tc>
          <w:tcPr>
            <w:tcW w:w="1559" w:type="dxa"/>
            <w:vAlign w:val="center"/>
          </w:tcPr>
          <w:p w:rsidR="002D52ED" w:rsidRPr="002C283C" w:rsidRDefault="002D52ED" w:rsidP="00B94F72">
            <w:pPr>
              <w:jc w:val="center"/>
            </w:pPr>
          </w:p>
        </w:tc>
      </w:tr>
      <w:tr w:rsidR="002D52ED" w:rsidRPr="002C283C" w:rsidTr="00B94F72">
        <w:trPr>
          <w:trHeight w:val="418"/>
        </w:trPr>
        <w:tc>
          <w:tcPr>
            <w:tcW w:w="353" w:type="dxa"/>
            <w:shd w:val="clear" w:color="auto" w:fill="auto"/>
            <w:vAlign w:val="center"/>
          </w:tcPr>
          <w:p w:rsidR="002D52ED" w:rsidRPr="002C283C" w:rsidRDefault="002D52ED" w:rsidP="00B94F72">
            <w:pPr>
              <w:widowControl w:val="0"/>
              <w:jc w:val="center"/>
              <w:rPr>
                <w:color w:val="000000"/>
                <w:shd w:val="clear" w:color="auto" w:fill="FFFFFF"/>
              </w:rPr>
            </w:pPr>
            <w:r w:rsidRPr="002C283C">
              <w:rPr>
                <w:bCs/>
              </w:rPr>
              <w:t>2</w:t>
            </w:r>
          </w:p>
        </w:tc>
        <w:tc>
          <w:tcPr>
            <w:tcW w:w="1897" w:type="dxa"/>
          </w:tcPr>
          <w:p w:rsidR="002D52ED" w:rsidRPr="002C283C" w:rsidRDefault="002D52ED" w:rsidP="00B94F72">
            <w:pPr>
              <w:jc w:val="center"/>
              <w:rPr>
                <w:noProof/>
              </w:rPr>
            </w:pPr>
            <w:r w:rsidRPr="00B42BA0">
              <w:rPr>
                <w:noProof/>
              </w:rPr>
              <w:t>19.20.21.135-00001 - Бензин автомобильный АИ-95 экологического класса не ниже К5 (розничная реализация)</w:t>
            </w:r>
          </w:p>
        </w:tc>
        <w:tc>
          <w:tcPr>
            <w:tcW w:w="3261" w:type="dxa"/>
            <w:shd w:val="clear" w:color="auto" w:fill="auto"/>
            <w:vAlign w:val="center"/>
          </w:tcPr>
          <w:p w:rsidR="002D52ED" w:rsidRPr="002C283C" w:rsidRDefault="002D52ED" w:rsidP="00B94F72">
            <w:pPr>
              <w:jc w:val="center"/>
              <w:rPr>
                <w:noProof/>
              </w:rPr>
            </w:pPr>
            <w:r w:rsidRPr="002C283C">
              <w:rPr>
                <w:noProof/>
              </w:rPr>
              <w:t>Бензин АИ-95-К5</w:t>
            </w:r>
          </w:p>
          <w:p w:rsidR="002D52ED" w:rsidRDefault="002D52ED" w:rsidP="00B94F72">
            <w:pPr>
              <w:jc w:val="center"/>
              <w:rPr>
                <w:noProof/>
                <w:u w:val="single"/>
              </w:rPr>
            </w:pPr>
            <w:r w:rsidRPr="00B42BA0">
              <w:rPr>
                <w:noProof/>
                <w:u w:val="single"/>
              </w:rPr>
              <w:t xml:space="preserve">Октановое число бензина автомобильного по исследовательскому методу: 95 -  98; </w:t>
            </w:r>
          </w:p>
          <w:p w:rsidR="002D52ED" w:rsidRPr="00B42BA0" w:rsidRDefault="002D52ED" w:rsidP="00B94F72">
            <w:pPr>
              <w:jc w:val="center"/>
              <w:rPr>
                <w:noProof/>
                <w:u w:val="single"/>
              </w:rPr>
            </w:pPr>
            <w:r w:rsidRPr="00B42BA0">
              <w:rPr>
                <w:noProof/>
                <w:u w:val="single"/>
              </w:rPr>
              <w:t>Экологический класс: Не ниже К5</w:t>
            </w:r>
          </w:p>
          <w:p w:rsidR="002D52ED" w:rsidRPr="002C283C" w:rsidRDefault="002D52ED" w:rsidP="00B94F72">
            <w:pPr>
              <w:jc w:val="center"/>
            </w:pPr>
            <w:r w:rsidRPr="00B42BA0">
              <w:rPr>
                <w:noProof/>
                <w:u w:val="single"/>
              </w:rPr>
              <w:t>ГОСТ 32513-2013</w:t>
            </w:r>
          </w:p>
        </w:tc>
        <w:tc>
          <w:tcPr>
            <w:tcW w:w="1701" w:type="dxa"/>
            <w:vAlign w:val="center"/>
          </w:tcPr>
          <w:p w:rsidR="002D52ED" w:rsidRPr="002C283C" w:rsidRDefault="00FD68CC" w:rsidP="00B94F72">
            <w:pPr>
              <w:jc w:val="center"/>
            </w:pPr>
            <w:r>
              <w:t>5824</w:t>
            </w:r>
          </w:p>
        </w:tc>
        <w:tc>
          <w:tcPr>
            <w:tcW w:w="1559" w:type="dxa"/>
            <w:vAlign w:val="center"/>
          </w:tcPr>
          <w:p w:rsidR="002D52ED" w:rsidRPr="002C283C" w:rsidRDefault="002D52ED" w:rsidP="00B94F72">
            <w:pPr>
              <w:jc w:val="center"/>
            </w:pPr>
          </w:p>
        </w:tc>
        <w:tc>
          <w:tcPr>
            <w:tcW w:w="1559" w:type="dxa"/>
            <w:vAlign w:val="center"/>
          </w:tcPr>
          <w:p w:rsidR="002D52ED" w:rsidRPr="002C283C" w:rsidRDefault="002D52ED" w:rsidP="00B94F72">
            <w:pPr>
              <w:jc w:val="center"/>
            </w:pPr>
          </w:p>
        </w:tc>
      </w:tr>
      <w:tr w:rsidR="002D52ED" w:rsidRPr="002C283C" w:rsidTr="00B94F72">
        <w:trPr>
          <w:trHeight w:val="410"/>
        </w:trPr>
        <w:tc>
          <w:tcPr>
            <w:tcW w:w="353" w:type="dxa"/>
            <w:shd w:val="clear" w:color="auto" w:fill="auto"/>
            <w:vAlign w:val="center"/>
          </w:tcPr>
          <w:p w:rsidR="002D52ED" w:rsidRPr="002C283C" w:rsidRDefault="002D52ED" w:rsidP="00B94F72">
            <w:pPr>
              <w:widowControl w:val="0"/>
              <w:jc w:val="center"/>
            </w:pPr>
            <w:r w:rsidRPr="002C283C">
              <w:rPr>
                <w:bCs/>
              </w:rPr>
              <w:t>3</w:t>
            </w:r>
          </w:p>
        </w:tc>
        <w:tc>
          <w:tcPr>
            <w:tcW w:w="1897" w:type="dxa"/>
          </w:tcPr>
          <w:p w:rsidR="002D52ED" w:rsidRPr="002C283C" w:rsidRDefault="002D52ED" w:rsidP="00B94F72">
            <w:pPr>
              <w:jc w:val="center"/>
            </w:pPr>
            <w:r w:rsidRPr="00B42BA0">
              <w:t>19.20.21.325-00002 - Топливо дизельное зимнее экологического класса не ниже К5 (розничная поставка)</w:t>
            </w:r>
          </w:p>
        </w:tc>
        <w:tc>
          <w:tcPr>
            <w:tcW w:w="3261" w:type="dxa"/>
            <w:shd w:val="clear" w:color="auto" w:fill="auto"/>
            <w:vAlign w:val="center"/>
          </w:tcPr>
          <w:p w:rsidR="002D52ED" w:rsidRPr="002C283C" w:rsidRDefault="002D52ED" w:rsidP="00B94F72">
            <w:pPr>
              <w:jc w:val="center"/>
            </w:pPr>
            <w:r w:rsidRPr="002C283C">
              <w:t>Дизельное топливо</w:t>
            </w:r>
          </w:p>
          <w:p w:rsidR="002D52ED" w:rsidRPr="00B42BA0" w:rsidRDefault="002D52ED" w:rsidP="00B94F72">
            <w:pPr>
              <w:tabs>
                <w:tab w:val="left" w:pos="43"/>
                <w:tab w:val="left" w:pos="681"/>
              </w:tabs>
              <w:autoSpaceDE w:val="0"/>
              <w:autoSpaceDN w:val="0"/>
              <w:adjustRightInd w:val="0"/>
              <w:jc w:val="center"/>
              <w:rPr>
                <w:noProof/>
                <w:u w:val="single"/>
              </w:rPr>
            </w:pPr>
            <w:r w:rsidRPr="00B42BA0">
              <w:rPr>
                <w:noProof/>
                <w:u w:val="single"/>
              </w:rPr>
              <w:t>Тип топлива дизельного: Зимнее</w:t>
            </w:r>
          </w:p>
          <w:p w:rsidR="002D52ED" w:rsidRPr="00B42BA0" w:rsidRDefault="002D52ED" w:rsidP="00B94F72">
            <w:pPr>
              <w:tabs>
                <w:tab w:val="left" w:pos="43"/>
                <w:tab w:val="left" w:pos="681"/>
              </w:tabs>
              <w:autoSpaceDE w:val="0"/>
              <w:autoSpaceDN w:val="0"/>
              <w:adjustRightInd w:val="0"/>
              <w:jc w:val="center"/>
              <w:rPr>
                <w:noProof/>
                <w:u w:val="single"/>
              </w:rPr>
            </w:pPr>
            <w:r w:rsidRPr="00B42BA0">
              <w:rPr>
                <w:noProof/>
                <w:u w:val="single"/>
              </w:rPr>
              <w:t>Сорт/класс топлива: Не ниже 3</w:t>
            </w:r>
          </w:p>
          <w:p w:rsidR="002D52ED" w:rsidRPr="00B42BA0" w:rsidRDefault="002D52ED" w:rsidP="00B94F72">
            <w:pPr>
              <w:tabs>
                <w:tab w:val="left" w:pos="43"/>
                <w:tab w:val="left" w:pos="681"/>
              </w:tabs>
              <w:autoSpaceDE w:val="0"/>
              <w:autoSpaceDN w:val="0"/>
              <w:adjustRightInd w:val="0"/>
              <w:jc w:val="center"/>
              <w:rPr>
                <w:noProof/>
                <w:u w:val="single"/>
              </w:rPr>
            </w:pPr>
            <w:r w:rsidRPr="00B42BA0">
              <w:rPr>
                <w:noProof/>
                <w:u w:val="single"/>
              </w:rPr>
              <w:t>Экологический класс: Не ниже К5</w:t>
            </w:r>
          </w:p>
          <w:p w:rsidR="002D52ED" w:rsidRPr="002C283C" w:rsidRDefault="002D52ED" w:rsidP="00B94F72">
            <w:pPr>
              <w:jc w:val="center"/>
            </w:pPr>
            <w:r w:rsidRPr="00B42BA0">
              <w:rPr>
                <w:noProof/>
                <w:u w:val="single"/>
              </w:rPr>
              <w:t>ГОСТ 32511-2013</w:t>
            </w:r>
          </w:p>
        </w:tc>
        <w:tc>
          <w:tcPr>
            <w:tcW w:w="1701" w:type="dxa"/>
            <w:vAlign w:val="center"/>
          </w:tcPr>
          <w:p w:rsidR="002D52ED" w:rsidRPr="002C283C" w:rsidRDefault="00FD68CC" w:rsidP="00B94F72">
            <w:pPr>
              <w:jc w:val="center"/>
            </w:pPr>
            <w:r>
              <w:t>1246</w:t>
            </w:r>
          </w:p>
        </w:tc>
        <w:tc>
          <w:tcPr>
            <w:tcW w:w="1559" w:type="dxa"/>
            <w:vAlign w:val="center"/>
          </w:tcPr>
          <w:p w:rsidR="002D52ED" w:rsidRPr="002C283C" w:rsidRDefault="002D52ED" w:rsidP="00B94F72">
            <w:pPr>
              <w:jc w:val="center"/>
            </w:pPr>
          </w:p>
        </w:tc>
        <w:tc>
          <w:tcPr>
            <w:tcW w:w="1559" w:type="dxa"/>
            <w:vAlign w:val="center"/>
          </w:tcPr>
          <w:p w:rsidR="002D52ED" w:rsidRPr="002C283C" w:rsidRDefault="002D52ED" w:rsidP="00B94F72">
            <w:pPr>
              <w:jc w:val="center"/>
            </w:pPr>
          </w:p>
        </w:tc>
      </w:tr>
    </w:tbl>
    <w:p w:rsidR="002D52ED" w:rsidRDefault="002D52ED" w:rsidP="00483CB2">
      <w:pPr>
        <w:widowControl w:val="0"/>
        <w:ind w:left="-284"/>
        <w:jc w:val="both"/>
        <w:rPr>
          <w:rFonts w:eastAsia="Calibri"/>
          <w:b/>
          <w:sz w:val="26"/>
          <w:szCs w:val="26"/>
          <w:u w:val="single"/>
          <w:lang w:eastAsia="ar-SA"/>
        </w:rPr>
      </w:pPr>
    </w:p>
    <w:p w:rsidR="002D52ED" w:rsidRDefault="002D52ED" w:rsidP="00483CB2">
      <w:pPr>
        <w:widowControl w:val="0"/>
        <w:ind w:left="-284"/>
        <w:jc w:val="both"/>
        <w:rPr>
          <w:rFonts w:eastAsia="Calibri"/>
          <w:b/>
          <w:sz w:val="26"/>
          <w:szCs w:val="26"/>
          <w:u w:val="single"/>
          <w:lang w:eastAsia="ar-SA"/>
        </w:rPr>
      </w:pPr>
    </w:p>
    <w:p w:rsidR="00483CB2" w:rsidRPr="005B2FDD" w:rsidRDefault="00483CB2" w:rsidP="00483CB2">
      <w:pPr>
        <w:widowControl w:val="0"/>
        <w:ind w:left="-284"/>
        <w:jc w:val="both"/>
        <w:rPr>
          <w:b/>
          <w:sz w:val="26"/>
          <w:szCs w:val="26"/>
          <w:u w:val="single"/>
          <w:lang w:eastAsia="ar-SA"/>
        </w:rPr>
      </w:pPr>
      <w:r w:rsidRPr="005B2FDD">
        <w:rPr>
          <w:rFonts w:eastAsia="Calibri"/>
          <w:b/>
          <w:sz w:val="26"/>
          <w:szCs w:val="26"/>
          <w:u w:val="single"/>
          <w:lang w:eastAsia="ar-SA"/>
        </w:rPr>
        <w:t>Срок поставки Товара</w:t>
      </w:r>
      <w:r w:rsidRPr="005B2FDD">
        <w:rPr>
          <w:rFonts w:eastAsia="Calibri"/>
          <w:sz w:val="26"/>
          <w:szCs w:val="26"/>
          <w:lang w:eastAsia="ar-SA"/>
        </w:rPr>
        <w:t xml:space="preserve">: с даты заключения Контракта (но не ранее </w:t>
      </w:r>
      <w:r w:rsidR="00FD68CC">
        <w:rPr>
          <w:rFonts w:eastAsia="Calibri"/>
          <w:sz w:val="26"/>
          <w:szCs w:val="26"/>
          <w:lang w:eastAsia="ar-SA"/>
        </w:rPr>
        <w:t>01</w:t>
      </w:r>
      <w:r w:rsidRPr="005B2FDD">
        <w:rPr>
          <w:rFonts w:eastAsia="Calibri"/>
          <w:sz w:val="26"/>
          <w:szCs w:val="26"/>
          <w:lang w:eastAsia="ar-SA"/>
        </w:rPr>
        <w:t>.</w:t>
      </w:r>
      <w:r>
        <w:rPr>
          <w:rFonts w:eastAsia="Calibri"/>
          <w:sz w:val="26"/>
          <w:szCs w:val="26"/>
          <w:lang w:eastAsia="ar-SA"/>
        </w:rPr>
        <w:t>0</w:t>
      </w:r>
      <w:r w:rsidR="00FD68CC">
        <w:rPr>
          <w:rFonts w:eastAsia="Calibri"/>
          <w:sz w:val="26"/>
          <w:szCs w:val="26"/>
          <w:lang w:eastAsia="ar-SA"/>
        </w:rPr>
        <w:t>7</w:t>
      </w:r>
      <w:r>
        <w:rPr>
          <w:rFonts w:eastAsia="Calibri"/>
          <w:sz w:val="26"/>
          <w:szCs w:val="26"/>
          <w:lang w:eastAsia="ar-SA"/>
        </w:rPr>
        <w:t>.2022</w:t>
      </w:r>
      <w:r w:rsidRPr="005B2FDD">
        <w:rPr>
          <w:rFonts w:eastAsia="Calibri"/>
          <w:sz w:val="26"/>
          <w:szCs w:val="26"/>
          <w:lang w:eastAsia="ar-SA"/>
        </w:rPr>
        <w:t>г.)  по 30.</w:t>
      </w:r>
      <w:r>
        <w:rPr>
          <w:rFonts w:eastAsia="Calibri"/>
          <w:sz w:val="26"/>
          <w:szCs w:val="26"/>
          <w:lang w:eastAsia="ar-SA"/>
        </w:rPr>
        <w:t>0</w:t>
      </w:r>
      <w:r w:rsidR="00FD68CC">
        <w:rPr>
          <w:rFonts w:eastAsia="Calibri"/>
          <w:sz w:val="26"/>
          <w:szCs w:val="26"/>
          <w:lang w:eastAsia="ar-SA"/>
        </w:rPr>
        <w:t>9</w:t>
      </w:r>
      <w:bookmarkStart w:id="0" w:name="_GoBack"/>
      <w:bookmarkEnd w:id="0"/>
      <w:r w:rsidRPr="005B2FDD">
        <w:rPr>
          <w:rFonts w:eastAsia="Calibri"/>
          <w:sz w:val="26"/>
          <w:szCs w:val="26"/>
          <w:lang w:eastAsia="ar-SA"/>
        </w:rPr>
        <w:t>.202</w:t>
      </w:r>
      <w:r>
        <w:rPr>
          <w:rFonts w:eastAsia="Calibri"/>
          <w:sz w:val="26"/>
          <w:szCs w:val="26"/>
          <w:lang w:eastAsia="ar-SA"/>
        </w:rPr>
        <w:t>2</w:t>
      </w:r>
      <w:r w:rsidRPr="005B2FDD">
        <w:rPr>
          <w:rFonts w:eastAsia="Calibri"/>
          <w:sz w:val="26"/>
          <w:szCs w:val="26"/>
          <w:lang w:eastAsia="ar-SA"/>
        </w:rPr>
        <w:t xml:space="preserve"> г.</w:t>
      </w:r>
    </w:p>
    <w:p w:rsidR="00483CB2" w:rsidRPr="005B2FDD" w:rsidRDefault="00483CB2" w:rsidP="00483CB2">
      <w:pPr>
        <w:widowControl w:val="0"/>
        <w:ind w:left="-284"/>
        <w:jc w:val="both"/>
        <w:rPr>
          <w:sz w:val="26"/>
          <w:szCs w:val="26"/>
          <w:lang w:eastAsia="ar-SA"/>
        </w:rPr>
      </w:pPr>
      <w:r w:rsidRPr="005B2FDD">
        <w:rPr>
          <w:b/>
          <w:sz w:val="26"/>
          <w:szCs w:val="26"/>
          <w:u w:val="single"/>
          <w:lang w:eastAsia="ar-SA"/>
        </w:rPr>
        <w:t>Место отпуска Товара:</w:t>
      </w:r>
      <w:r w:rsidRPr="005B2FDD">
        <w:rPr>
          <w:sz w:val="26"/>
          <w:szCs w:val="26"/>
          <w:lang w:eastAsia="ar-SA"/>
        </w:rPr>
        <w:t xml:space="preserve"> АЗС на территории Самарской области. Местоположение не менее одной АЗС в пределах шести километров удаленности от фактического местонахождения Заказчика и фи</w:t>
      </w:r>
      <w:r>
        <w:rPr>
          <w:sz w:val="26"/>
          <w:szCs w:val="26"/>
          <w:lang w:eastAsia="ar-SA"/>
        </w:rPr>
        <w:t xml:space="preserve">лиалов Заказчика. </w:t>
      </w:r>
    </w:p>
    <w:p w:rsidR="00483CB2" w:rsidRDefault="00483CB2" w:rsidP="00483CB2">
      <w:pPr>
        <w:widowControl w:val="0"/>
        <w:jc w:val="both"/>
      </w:pPr>
    </w:p>
    <w:p w:rsidR="00483CB2" w:rsidRDefault="00483CB2" w:rsidP="00483CB2">
      <w:pPr>
        <w:widowControl w:val="0"/>
        <w:spacing w:after="120"/>
        <w:jc w:val="center"/>
        <w:rPr>
          <w:b/>
          <w:bCs/>
          <w:sz w:val="22"/>
          <w:szCs w:val="22"/>
        </w:rPr>
      </w:pPr>
      <w:r w:rsidRPr="00EF5229">
        <w:rPr>
          <w:b/>
          <w:bCs/>
          <w:sz w:val="22"/>
          <w:szCs w:val="22"/>
        </w:rPr>
        <w:t>Перечень АЗС по г. Самаре и Самарской области</w:t>
      </w:r>
    </w:p>
    <w:tbl>
      <w:tblPr>
        <w:tblpPr w:leftFromText="180" w:rightFromText="180" w:vertAnchor="text" w:tblpY="1"/>
        <w:tblOverlap w:val="never"/>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2280"/>
        <w:gridCol w:w="7403"/>
      </w:tblGrid>
      <w:tr w:rsidR="00483CB2" w:rsidRPr="001A3931" w:rsidTr="004C669E">
        <w:trPr>
          <w:trHeight w:val="330"/>
        </w:trPr>
        <w:tc>
          <w:tcPr>
            <w:tcW w:w="680" w:type="dxa"/>
            <w:shd w:val="clear" w:color="auto" w:fill="auto"/>
            <w:vAlign w:val="center"/>
            <w:hideMark/>
          </w:tcPr>
          <w:p w:rsidR="00483CB2" w:rsidRPr="001A3931" w:rsidRDefault="00483CB2" w:rsidP="004C669E">
            <w:pPr>
              <w:rPr>
                <w:b/>
                <w:bCs/>
              </w:rPr>
            </w:pPr>
            <w:r w:rsidRPr="001A3931">
              <w:rPr>
                <w:b/>
                <w:bCs/>
              </w:rPr>
              <w:t>№ п/п</w:t>
            </w:r>
          </w:p>
        </w:tc>
        <w:tc>
          <w:tcPr>
            <w:tcW w:w="2280" w:type="dxa"/>
            <w:shd w:val="clear" w:color="auto" w:fill="auto"/>
            <w:vAlign w:val="center"/>
            <w:hideMark/>
          </w:tcPr>
          <w:p w:rsidR="00483CB2" w:rsidRPr="001A3931" w:rsidRDefault="00483CB2" w:rsidP="004C669E">
            <w:pPr>
              <w:rPr>
                <w:b/>
                <w:bCs/>
              </w:rPr>
            </w:pPr>
            <w:r w:rsidRPr="001A3931">
              <w:rPr>
                <w:b/>
                <w:bCs/>
              </w:rPr>
              <w:t>Регион</w:t>
            </w:r>
          </w:p>
        </w:tc>
        <w:tc>
          <w:tcPr>
            <w:tcW w:w="7403" w:type="dxa"/>
            <w:shd w:val="clear" w:color="auto" w:fill="auto"/>
            <w:vAlign w:val="bottom"/>
            <w:hideMark/>
          </w:tcPr>
          <w:p w:rsidR="00483CB2" w:rsidRPr="001A3931" w:rsidRDefault="00483CB2" w:rsidP="004C669E">
            <w:pPr>
              <w:rPr>
                <w:b/>
                <w:bCs/>
              </w:rPr>
            </w:pPr>
            <w:r w:rsidRPr="001A3931">
              <w:rPr>
                <w:b/>
                <w:bCs/>
              </w:rPr>
              <w:t>Адрес</w:t>
            </w:r>
          </w:p>
        </w:tc>
      </w:tr>
    </w:tbl>
    <w:p w:rsidR="00483CB2" w:rsidRDefault="00483CB2" w:rsidP="00483CB2">
      <w:pPr>
        <w:widowControl w:val="0"/>
        <w:jc w:val="both"/>
      </w:pPr>
    </w:p>
    <w:p w:rsidR="00483CB2" w:rsidRDefault="00483CB2" w:rsidP="00483CB2">
      <w:pPr>
        <w:widowControl w:val="0"/>
        <w:jc w:val="both"/>
      </w:pPr>
    </w:p>
    <w:p w:rsidR="00483CB2" w:rsidRDefault="00483CB2" w:rsidP="00483CB2">
      <w:pPr>
        <w:widowControl w:val="0"/>
        <w:tabs>
          <w:tab w:val="left" w:pos="426"/>
        </w:tabs>
        <w:spacing w:line="100" w:lineRule="atLeast"/>
        <w:ind w:left="-284"/>
        <w:jc w:val="both"/>
        <w:rPr>
          <w:b/>
          <w:bCs/>
          <w:kern w:val="1"/>
          <w:sz w:val="26"/>
          <w:szCs w:val="26"/>
          <w:u w:val="single"/>
          <w:lang w:eastAsia="ar-SA"/>
        </w:rPr>
      </w:pPr>
    </w:p>
    <w:p w:rsidR="00483CB2" w:rsidRPr="005B2FDD" w:rsidRDefault="00483CB2" w:rsidP="008C1036">
      <w:pPr>
        <w:widowControl w:val="0"/>
        <w:tabs>
          <w:tab w:val="left" w:pos="426"/>
        </w:tabs>
        <w:spacing w:line="100" w:lineRule="atLeast"/>
        <w:jc w:val="both"/>
        <w:rPr>
          <w:sz w:val="26"/>
          <w:szCs w:val="26"/>
          <w:lang w:eastAsia="ar-SA"/>
        </w:rPr>
      </w:pPr>
      <w:r w:rsidRPr="005B2FDD">
        <w:rPr>
          <w:b/>
          <w:bCs/>
          <w:kern w:val="1"/>
          <w:sz w:val="26"/>
          <w:szCs w:val="26"/>
          <w:u w:val="single"/>
          <w:lang w:eastAsia="ar-SA"/>
        </w:rPr>
        <w:t>Требования к поставке Товара:</w:t>
      </w:r>
    </w:p>
    <w:p w:rsidR="00483CB2" w:rsidRPr="00154BE7" w:rsidRDefault="00483CB2" w:rsidP="00483CB2">
      <w:pPr>
        <w:widowControl w:val="0"/>
        <w:spacing w:line="100" w:lineRule="atLeast"/>
        <w:ind w:left="-284"/>
        <w:jc w:val="both"/>
        <w:rPr>
          <w:sz w:val="26"/>
          <w:szCs w:val="26"/>
          <w:lang w:eastAsia="ar-SA"/>
        </w:rPr>
      </w:pPr>
      <w:r w:rsidRPr="00154BE7">
        <w:rPr>
          <w:sz w:val="26"/>
          <w:szCs w:val="26"/>
          <w:lang w:eastAsia="ar-SA"/>
        </w:rPr>
        <w:t>Поставка Товара осуществляется с применением пластиковых карт, выдаваемых Поставщиком, путем их отпуска на Автозаправочных станциях/комплексах (АЗС). Пластиковая карта является техническим средством учёта операций получения товара Заказчиком и не является платёжным средством. Право собственности на нефтепродукты, поставляемые по настоящему Контракту, должно переходить к Заказчику в момент их фактического получения на АЗС.</w:t>
      </w:r>
    </w:p>
    <w:p w:rsidR="00483CB2" w:rsidRPr="00154BE7" w:rsidRDefault="00483CB2" w:rsidP="00483CB2">
      <w:pPr>
        <w:widowControl w:val="0"/>
        <w:spacing w:line="100" w:lineRule="atLeast"/>
        <w:ind w:left="-284"/>
        <w:jc w:val="both"/>
        <w:rPr>
          <w:sz w:val="26"/>
          <w:szCs w:val="26"/>
          <w:lang w:eastAsia="ar-SA"/>
        </w:rPr>
      </w:pPr>
      <w:r w:rsidRPr="00154BE7">
        <w:rPr>
          <w:sz w:val="26"/>
          <w:szCs w:val="26"/>
          <w:lang w:eastAsia="ar-SA"/>
        </w:rPr>
        <w:t>Пластиковые карты должны быть защищены PIN -кодом.</w:t>
      </w:r>
    </w:p>
    <w:p w:rsidR="00483CB2" w:rsidRPr="00154BE7" w:rsidRDefault="00483CB2" w:rsidP="00483CB2">
      <w:pPr>
        <w:widowControl w:val="0"/>
        <w:spacing w:line="100" w:lineRule="atLeast"/>
        <w:ind w:left="-284"/>
        <w:jc w:val="both"/>
        <w:rPr>
          <w:sz w:val="26"/>
          <w:szCs w:val="26"/>
          <w:lang w:eastAsia="ar-SA"/>
        </w:rPr>
      </w:pPr>
      <w:r w:rsidRPr="00154BE7">
        <w:rPr>
          <w:sz w:val="26"/>
          <w:szCs w:val="26"/>
          <w:lang w:eastAsia="ar-SA"/>
        </w:rPr>
        <w:t>Выборка Заказчиком Товара через топливораздаточные колонки АЗС должна подтверждаться чеком, автоматически распечатываемом на оборудовании, установленном на АЗС Поставщика. Чек выдается при выборке товара на АЗС держателю пластиковой карты, второй экземпляр чека остается на АЗС.</w:t>
      </w:r>
    </w:p>
    <w:p w:rsidR="00483CB2" w:rsidRPr="00154BE7" w:rsidRDefault="00483CB2" w:rsidP="00483CB2">
      <w:pPr>
        <w:widowControl w:val="0"/>
        <w:spacing w:line="100" w:lineRule="atLeast"/>
        <w:ind w:left="-284"/>
        <w:jc w:val="both"/>
        <w:rPr>
          <w:sz w:val="26"/>
          <w:szCs w:val="26"/>
          <w:lang w:eastAsia="ar-SA"/>
        </w:rPr>
      </w:pPr>
      <w:r w:rsidRPr="00154BE7">
        <w:rPr>
          <w:sz w:val="26"/>
          <w:szCs w:val="26"/>
          <w:lang w:eastAsia="ar-SA"/>
        </w:rPr>
        <w:t>Поставщик должен своевременно информировать Заказчика обо всех изменениях в сети АЗС.</w:t>
      </w:r>
    </w:p>
    <w:p w:rsidR="00483CB2" w:rsidRDefault="00483CB2" w:rsidP="00483CB2">
      <w:pPr>
        <w:widowControl w:val="0"/>
        <w:spacing w:line="100" w:lineRule="atLeast"/>
        <w:ind w:left="-284"/>
        <w:jc w:val="both"/>
        <w:rPr>
          <w:sz w:val="26"/>
          <w:szCs w:val="26"/>
          <w:lang w:eastAsia="ar-SA"/>
        </w:rPr>
      </w:pPr>
      <w:r w:rsidRPr="00154BE7">
        <w:rPr>
          <w:sz w:val="26"/>
          <w:szCs w:val="26"/>
          <w:lang w:eastAsia="ar-SA"/>
        </w:rPr>
        <w:t>Карты, выданные Поставщиком Заказчику во исполнение Контракта, являются собственностью Поставщика и подлежат возврату Поставщику по окончании срока действия Контракта.</w:t>
      </w:r>
    </w:p>
    <w:p w:rsidR="00483CB2" w:rsidRPr="005B2FDD" w:rsidRDefault="00483CB2" w:rsidP="00483CB2">
      <w:pPr>
        <w:widowControl w:val="0"/>
        <w:spacing w:line="100" w:lineRule="atLeast"/>
        <w:ind w:left="-284"/>
        <w:jc w:val="both"/>
        <w:rPr>
          <w:rFonts w:eastAsia="SimSun"/>
          <w:kern w:val="1"/>
          <w:sz w:val="26"/>
          <w:szCs w:val="26"/>
          <w:lang w:eastAsia="ar-SA"/>
        </w:rPr>
      </w:pPr>
      <w:r w:rsidRPr="005B2FDD">
        <w:rPr>
          <w:rFonts w:eastAsia="SimSun"/>
          <w:b/>
          <w:kern w:val="1"/>
          <w:sz w:val="26"/>
          <w:szCs w:val="26"/>
          <w:u w:val="single"/>
          <w:lang w:eastAsia="ar-SA"/>
        </w:rPr>
        <w:t xml:space="preserve">Требования к порядку </w:t>
      </w:r>
      <w:proofErr w:type="gramStart"/>
      <w:r w:rsidRPr="005B2FDD">
        <w:rPr>
          <w:rFonts w:eastAsia="SimSun"/>
          <w:b/>
          <w:kern w:val="1"/>
          <w:sz w:val="26"/>
          <w:szCs w:val="26"/>
          <w:u w:val="single"/>
          <w:lang w:eastAsia="ar-SA"/>
        </w:rPr>
        <w:t>получения  карт</w:t>
      </w:r>
      <w:proofErr w:type="gramEnd"/>
      <w:r w:rsidRPr="005B2FDD">
        <w:rPr>
          <w:rFonts w:eastAsia="SimSun"/>
          <w:b/>
          <w:kern w:val="1"/>
          <w:sz w:val="26"/>
          <w:szCs w:val="26"/>
          <w:u w:val="single"/>
          <w:lang w:eastAsia="ar-SA"/>
        </w:rPr>
        <w:t>:</w:t>
      </w:r>
    </w:p>
    <w:p w:rsidR="00483CB2" w:rsidRPr="005B2FDD" w:rsidRDefault="00483CB2" w:rsidP="00483CB2">
      <w:pPr>
        <w:widowControl w:val="0"/>
        <w:tabs>
          <w:tab w:val="left" w:pos="142"/>
          <w:tab w:val="left" w:pos="426"/>
        </w:tabs>
        <w:spacing w:line="100" w:lineRule="atLeast"/>
        <w:ind w:left="-284"/>
        <w:jc w:val="both"/>
        <w:rPr>
          <w:rFonts w:eastAsia="SimSun"/>
          <w:kern w:val="1"/>
          <w:sz w:val="26"/>
          <w:szCs w:val="26"/>
          <w:lang w:eastAsia="ar-SA"/>
        </w:rPr>
      </w:pPr>
      <w:r w:rsidRPr="005B2FDD">
        <w:rPr>
          <w:rFonts w:eastAsia="SimSun"/>
          <w:kern w:val="1"/>
          <w:sz w:val="26"/>
          <w:szCs w:val="26"/>
          <w:lang w:eastAsia="ar-SA"/>
        </w:rPr>
        <w:t>1. Пластиковые карты передаются Заказчику в течение 3 (трех) календарных дней со дня получения Поставщиком заявки на изготовление карт. Передача карт оформляется актом приема-передачи. Блокировка карты (прекращение операций по карте) производится Поставщиком в случае утраты карты Заказчиком вследствие ее утери либо кражи.</w:t>
      </w:r>
    </w:p>
    <w:p w:rsidR="00483CB2" w:rsidRPr="005B2FDD" w:rsidRDefault="00483CB2" w:rsidP="00483CB2">
      <w:pPr>
        <w:widowControl w:val="0"/>
        <w:tabs>
          <w:tab w:val="left" w:pos="142"/>
          <w:tab w:val="left" w:pos="426"/>
        </w:tabs>
        <w:spacing w:line="100" w:lineRule="atLeast"/>
        <w:ind w:left="-284"/>
        <w:jc w:val="both"/>
        <w:rPr>
          <w:b/>
          <w:sz w:val="26"/>
          <w:szCs w:val="26"/>
          <w:u w:val="single"/>
          <w:lang w:eastAsia="ar-SA"/>
        </w:rPr>
      </w:pPr>
      <w:r w:rsidRPr="005B2FDD">
        <w:rPr>
          <w:rFonts w:eastAsia="SimSun"/>
          <w:kern w:val="1"/>
          <w:sz w:val="26"/>
          <w:szCs w:val="26"/>
          <w:lang w:eastAsia="ar-SA"/>
        </w:rPr>
        <w:t>2.Блокировка карты (прекращение операций по карте) вследствие ее утраты (порчи) Заказчиком производится Поставщиком с момента получения письменного заявления Заказчика о необходимости такой блокировки.</w:t>
      </w:r>
    </w:p>
    <w:p w:rsidR="00483CB2" w:rsidRPr="00622A38" w:rsidRDefault="00483CB2" w:rsidP="00483CB2">
      <w:pPr>
        <w:widowControl w:val="0"/>
        <w:jc w:val="both"/>
        <w:rPr>
          <w:sz w:val="26"/>
          <w:szCs w:val="26"/>
          <w:lang w:eastAsia="ar-SA"/>
        </w:rPr>
      </w:pPr>
      <w:r w:rsidRPr="005B2FDD">
        <w:rPr>
          <w:b/>
          <w:sz w:val="26"/>
          <w:szCs w:val="26"/>
          <w:u w:val="single"/>
          <w:lang w:eastAsia="ar-SA"/>
        </w:rPr>
        <w:t>Требования к качеству товара:</w:t>
      </w:r>
      <w:r w:rsidRPr="005B2FDD">
        <w:rPr>
          <w:sz w:val="26"/>
          <w:szCs w:val="26"/>
          <w:lang w:eastAsia="ar-SA"/>
        </w:rPr>
        <w:t xml:space="preserve"> </w:t>
      </w:r>
      <w:r w:rsidRPr="00622A38">
        <w:rPr>
          <w:sz w:val="26"/>
          <w:szCs w:val="26"/>
          <w:lang w:eastAsia="ar-SA"/>
        </w:rPr>
        <w:t>Качество Товара на АЗС должно соответствовать ГОСТам и ТУ и подтверждаться сертификатом качества, выданным заводом – производителем. Поставляемый Товар должны быть сертифицирован.</w:t>
      </w:r>
    </w:p>
    <w:p w:rsidR="00483CB2" w:rsidRPr="00622A38" w:rsidRDefault="00483CB2" w:rsidP="00483CB2">
      <w:pPr>
        <w:widowControl w:val="0"/>
        <w:jc w:val="both"/>
        <w:rPr>
          <w:sz w:val="26"/>
          <w:szCs w:val="26"/>
          <w:lang w:eastAsia="ar-SA"/>
        </w:rPr>
      </w:pPr>
      <w:r w:rsidRPr="00622A38">
        <w:rPr>
          <w:sz w:val="26"/>
          <w:szCs w:val="26"/>
          <w:lang w:eastAsia="ar-SA"/>
        </w:rPr>
        <w:t>Характеристики Товара должны соответствовать требованиям, установленным в техническом регламенте Таможенного союза «О требованиях к автомобильному и авиационному бензину, дизельному и судовому топливу, топливу для реактивных двигателей и топочному мазуту», принятому решением Комиссии Таможенного союза от 18.10.2011 №826.</w:t>
      </w:r>
    </w:p>
    <w:p w:rsidR="00483CB2" w:rsidRDefault="00483CB2" w:rsidP="00483CB2">
      <w:pPr>
        <w:widowControl w:val="0"/>
        <w:ind w:left="-284"/>
        <w:jc w:val="both"/>
      </w:pPr>
    </w:p>
    <w:p w:rsidR="00F64309" w:rsidRPr="00483CB2" w:rsidRDefault="00F64309" w:rsidP="00483CB2"/>
    <w:sectPr w:rsidR="00F64309" w:rsidRPr="00483C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897"/>
    <w:rsid w:val="002D52ED"/>
    <w:rsid w:val="00483CB2"/>
    <w:rsid w:val="008C1036"/>
    <w:rsid w:val="00A37897"/>
    <w:rsid w:val="00F64309"/>
    <w:rsid w:val="00FD68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B564EA-C0ED-46FE-B4F0-CDCBE4EBC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3CB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oz@ro63.fs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697</Words>
  <Characters>3978</Characters>
  <Application>Microsoft Office Word</Application>
  <DocSecurity>0</DocSecurity>
  <Lines>33</Lines>
  <Paragraphs>9</Paragraphs>
  <ScaleCrop>false</ScaleCrop>
  <Company/>
  <LinksUpToDate>false</LinksUpToDate>
  <CharactersWithSpaces>4666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Толстых Алексей Дмитриевич</dc:creator>
  <cp:keywords/>
  <dc:description/>
  <cp:lastModifiedBy>Толстых Алексей Дмитриевич</cp:lastModifiedBy>
  <cp:revision>5</cp:revision>
  <dcterms:created xsi:type="dcterms:W3CDTF">2021-11-01T11:37:00Z</dcterms:created>
  <dcterms:modified xsi:type="dcterms:W3CDTF">2022-05-31T11:50:00Z</dcterms:modified>
</cp:coreProperties>
</file>