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9D" w:rsidRPr="00892A8E" w:rsidRDefault="00E26C9D" w:rsidP="00E26C9D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  <w:r w:rsidRPr="00892A8E">
        <w:rPr>
          <w:sz w:val="22"/>
          <w:szCs w:val="22"/>
        </w:rPr>
        <w:t xml:space="preserve">  </w:t>
      </w:r>
      <w:r w:rsidRPr="00892A8E">
        <w:rPr>
          <w:b/>
          <w:bCs/>
          <w:sz w:val="22"/>
          <w:szCs w:val="22"/>
        </w:rPr>
        <w:t xml:space="preserve">Описание объекта закупки </w:t>
      </w:r>
    </w:p>
    <w:p w:rsidR="00E26C9D" w:rsidRPr="00892A8E" w:rsidRDefault="00E26C9D" w:rsidP="00E26C9D">
      <w:pPr>
        <w:keepNext/>
        <w:jc w:val="center"/>
        <w:rPr>
          <w:b/>
          <w:sz w:val="22"/>
          <w:szCs w:val="22"/>
        </w:rPr>
      </w:pPr>
      <w:r w:rsidRPr="00892A8E">
        <w:rPr>
          <w:b/>
          <w:bCs/>
          <w:sz w:val="22"/>
          <w:szCs w:val="22"/>
        </w:rPr>
        <w:t xml:space="preserve">поставка технических средств реабилитации – </w:t>
      </w:r>
      <w:r w:rsidRPr="00892A8E">
        <w:rPr>
          <w:b/>
          <w:bCs/>
          <w:sz w:val="22"/>
          <w:szCs w:val="22"/>
          <w:lang w:val="en-US"/>
        </w:rPr>
        <w:t>c</w:t>
      </w:r>
      <w:proofErr w:type="spellStart"/>
      <w:r w:rsidRPr="00892A8E">
        <w:rPr>
          <w:b/>
          <w:bCs/>
          <w:sz w:val="22"/>
          <w:szCs w:val="22"/>
        </w:rPr>
        <w:t>луховых</w:t>
      </w:r>
      <w:proofErr w:type="spellEnd"/>
      <w:r w:rsidRPr="00892A8E">
        <w:rPr>
          <w:b/>
          <w:bCs/>
          <w:sz w:val="22"/>
          <w:szCs w:val="22"/>
        </w:rPr>
        <w:t xml:space="preserve"> аппаратов цифровых заушных сверхмощных для обеспечения инвалидов, проживающих на террит</w:t>
      </w:r>
      <w:r w:rsidR="00B6463E" w:rsidRPr="00892A8E">
        <w:rPr>
          <w:b/>
          <w:bCs/>
          <w:sz w:val="22"/>
          <w:szCs w:val="22"/>
        </w:rPr>
        <w:t>ории Свердловской области в 2023</w:t>
      </w:r>
      <w:r w:rsidRPr="00892A8E">
        <w:rPr>
          <w:b/>
          <w:bCs/>
          <w:sz w:val="22"/>
          <w:szCs w:val="22"/>
        </w:rPr>
        <w:t xml:space="preserve"> году</w:t>
      </w:r>
    </w:p>
    <w:p w:rsidR="00E26C9D" w:rsidRPr="00892A8E" w:rsidRDefault="00E26C9D" w:rsidP="00E26C9D">
      <w:pPr>
        <w:tabs>
          <w:tab w:val="left" w:pos="708"/>
        </w:tabs>
        <w:jc w:val="both"/>
        <w:rPr>
          <w:sz w:val="22"/>
          <w:szCs w:val="22"/>
        </w:rPr>
      </w:pPr>
    </w:p>
    <w:p w:rsidR="008A56ED" w:rsidRPr="00892A8E" w:rsidRDefault="008A56ED" w:rsidP="008A56ED">
      <w:pPr>
        <w:tabs>
          <w:tab w:val="left" w:pos="708"/>
        </w:tabs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Цифровые слуховые</w:t>
      </w:r>
      <w:r w:rsidR="006974AA" w:rsidRPr="00892A8E">
        <w:rPr>
          <w:sz w:val="22"/>
          <w:szCs w:val="22"/>
        </w:rPr>
        <w:t xml:space="preserve"> аппараты – программируемое устройства</w:t>
      </w:r>
      <w:r w:rsidRPr="00892A8E">
        <w:rPr>
          <w:sz w:val="22"/>
          <w:szCs w:val="22"/>
        </w:rPr>
        <w:t>, индивидуального использования и предназначенное для компенсации ограничений жизнедеятельности.</w:t>
      </w:r>
    </w:p>
    <w:p w:rsidR="008A56ED" w:rsidRPr="00892A8E" w:rsidRDefault="008A56ED" w:rsidP="008A56ED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Слуховые аппараты – изделия медицинского назначения. Наличие регистрационного удостоверения является обязательным условием поставки товара. </w:t>
      </w:r>
    </w:p>
    <w:p w:rsidR="008A56ED" w:rsidRPr="00892A8E" w:rsidRDefault="008A56ED" w:rsidP="008A56ED">
      <w:pPr>
        <w:ind w:firstLine="709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Цифровой слуховой аппарат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8A56ED" w:rsidRPr="00892A8E" w:rsidRDefault="008A56ED" w:rsidP="00892A8E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Упаковка слуховых аппаратов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</w:t>
      </w:r>
    </w:p>
    <w:p w:rsidR="009B7447" w:rsidRPr="00892A8E" w:rsidRDefault="009B7447" w:rsidP="00892A8E">
      <w:pPr>
        <w:keepNext/>
        <w:tabs>
          <w:tab w:val="left" w:pos="708"/>
        </w:tabs>
        <w:ind w:left="-720" w:firstLine="720"/>
        <w:jc w:val="center"/>
        <w:rPr>
          <w:b/>
          <w:bCs/>
          <w:sz w:val="22"/>
          <w:szCs w:val="22"/>
        </w:rPr>
      </w:pPr>
      <w:r w:rsidRPr="00892A8E">
        <w:rPr>
          <w:b/>
          <w:bCs/>
          <w:sz w:val="22"/>
          <w:szCs w:val="22"/>
        </w:rPr>
        <w:t>Порядок обеспечения товаром</w:t>
      </w:r>
    </w:p>
    <w:p w:rsidR="009B7447" w:rsidRPr="00892A8E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892A8E">
        <w:rPr>
          <w:sz w:val="22"/>
          <w:szCs w:val="22"/>
        </w:rPr>
        <w:t xml:space="preserve">Обеспечение </w:t>
      </w:r>
      <w:proofErr w:type="gramStart"/>
      <w:r w:rsidRPr="00892A8E">
        <w:rPr>
          <w:sz w:val="22"/>
          <w:szCs w:val="22"/>
        </w:rPr>
        <w:t>техническими  средствами</w:t>
      </w:r>
      <w:proofErr w:type="gramEnd"/>
      <w:r w:rsidRPr="00892A8E">
        <w:rPr>
          <w:sz w:val="22"/>
          <w:szCs w:val="22"/>
        </w:rPr>
        <w:t xml:space="preserve"> реабилитации - слуховыми аппаратами является комплексным реабилитационным мероприятием, включающим в себя:</w:t>
      </w:r>
    </w:p>
    <w:p w:rsidR="009B7447" w:rsidRPr="00892A8E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892A8E">
        <w:rPr>
          <w:sz w:val="22"/>
          <w:szCs w:val="22"/>
        </w:rPr>
        <w:t xml:space="preserve">- проведение осмотра Получателя врачом </w:t>
      </w:r>
      <w:proofErr w:type="spellStart"/>
      <w:r w:rsidRPr="00892A8E">
        <w:rPr>
          <w:sz w:val="22"/>
          <w:szCs w:val="22"/>
        </w:rPr>
        <w:t>сурдологом</w:t>
      </w:r>
      <w:proofErr w:type="spellEnd"/>
      <w:r w:rsidRPr="00892A8E">
        <w:rPr>
          <w:sz w:val="22"/>
          <w:szCs w:val="22"/>
        </w:rPr>
        <w:t xml:space="preserve"> – </w:t>
      </w:r>
      <w:proofErr w:type="spellStart"/>
      <w:r w:rsidRPr="00892A8E">
        <w:rPr>
          <w:sz w:val="22"/>
          <w:szCs w:val="22"/>
        </w:rPr>
        <w:t>оториноларингологом</w:t>
      </w:r>
      <w:proofErr w:type="spellEnd"/>
      <w:r w:rsidRPr="00892A8E">
        <w:rPr>
          <w:sz w:val="22"/>
          <w:szCs w:val="22"/>
        </w:rPr>
        <w:t>;</w:t>
      </w:r>
    </w:p>
    <w:p w:rsidR="009B7447" w:rsidRPr="00892A8E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892A8E">
        <w:rPr>
          <w:sz w:val="22"/>
          <w:szCs w:val="22"/>
        </w:rPr>
        <w:t>- подбор слухового аппарата согласно аудиометрическим данным Получателя, а также согласно медицинским рекомендациям;</w:t>
      </w:r>
    </w:p>
    <w:p w:rsidR="009B7447" w:rsidRPr="00892A8E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892A8E">
        <w:rPr>
          <w:sz w:val="22"/>
          <w:szCs w:val="22"/>
        </w:rPr>
        <w:t>- индивидуальную настройку слухового аппарата;</w:t>
      </w:r>
      <w:r w:rsidRPr="00892A8E">
        <w:rPr>
          <w:sz w:val="22"/>
          <w:szCs w:val="22"/>
        </w:rPr>
        <w:tab/>
      </w:r>
    </w:p>
    <w:p w:rsidR="009B7447" w:rsidRPr="00892A8E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892A8E">
        <w:rPr>
          <w:sz w:val="22"/>
          <w:szCs w:val="22"/>
        </w:rPr>
        <w:t>- инструктаж, консультационную помощь по правильному пользованию слуховым аппаратом;</w:t>
      </w:r>
    </w:p>
    <w:p w:rsidR="009B7447" w:rsidRPr="00892A8E" w:rsidRDefault="009B7447" w:rsidP="009B7447">
      <w:pPr>
        <w:keepNext/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892A8E">
        <w:rPr>
          <w:sz w:val="22"/>
          <w:szCs w:val="22"/>
        </w:rPr>
        <w:t>- выдачу слухового аппарата Получателю.</w:t>
      </w:r>
    </w:p>
    <w:p w:rsidR="009B7447" w:rsidRPr="00892A8E" w:rsidRDefault="009B7447" w:rsidP="008A56ED">
      <w:pPr>
        <w:keepNext/>
        <w:keepLines/>
        <w:widowControl w:val="0"/>
        <w:jc w:val="both"/>
        <w:rPr>
          <w:sz w:val="22"/>
          <w:szCs w:val="22"/>
        </w:rPr>
      </w:pPr>
    </w:p>
    <w:p w:rsidR="008A56ED" w:rsidRPr="00892A8E" w:rsidRDefault="008A56ED" w:rsidP="008A56ED">
      <w:pPr>
        <w:pStyle w:val="a3"/>
        <w:keepNext/>
        <w:suppressLineNumbers w:val="0"/>
        <w:rPr>
          <w:rFonts w:cs="Times New Roman"/>
          <w:sz w:val="22"/>
          <w:szCs w:val="22"/>
          <w:lang w:val="ru-RU"/>
        </w:rPr>
      </w:pPr>
      <w:r w:rsidRPr="00892A8E">
        <w:rPr>
          <w:rFonts w:cs="Times New Roman"/>
          <w:sz w:val="22"/>
          <w:szCs w:val="22"/>
          <w:lang w:val="ru-RU"/>
        </w:rPr>
        <w:t>Требования к месту, условиям, объемам и срокам (периодам) исполнения государственного контракта по обеспечению слуховыми аппаратами</w:t>
      </w:r>
    </w:p>
    <w:p w:rsidR="008A56ED" w:rsidRPr="00892A8E" w:rsidRDefault="008A56ED" w:rsidP="008A56ED">
      <w:pPr>
        <w:pStyle w:val="a3"/>
        <w:keepNext/>
        <w:suppressLineNumbers w:val="0"/>
        <w:rPr>
          <w:rFonts w:cs="Times New Roman"/>
          <w:sz w:val="22"/>
          <w:szCs w:val="22"/>
          <w:lang w:val="ru-RU"/>
        </w:rPr>
      </w:pPr>
    </w:p>
    <w:p w:rsidR="008A56ED" w:rsidRPr="00892A8E" w:rsidRDefault="008A56ED" w:rsidP="008A56ED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Наличие лицензии </w:t>
      </w:r>
      <w:r w:rsidR="00892A8E" w:rsidRPr="00892A8E">
        <w:rPr>
          <w:sz w:val="22"/>
          <w:szCs w:val="22"/>
        </w:rPr>
        <w:t>либо выписки из Реестра лицензи</w:t>
      </w:r>
      <w:r w:rsidR="00892A8E">
        <w:rPr>
          <w:sz w:val="22"/>
          <w:szCs w:val="22"/>
        </w:rPr>
        <w:t>й</w:t>
      </w:r>
      <w:r w:rsidR="00892A8E" w:rsidRPr="00892A8E">
        <w:rPr>
          <w:sz w:val="22"/>
          <w:szCs w:val="22"/>
        </w:rPr>
        <w:t xml:space="preserve"> у</w:t>
      </w:r>
      <w:r w:rsidRPr="00892A8E">
        <w:rPr>
          <w:sz w:val="22"/>
          <w:szCs w:val="22"/>
        </w:rPr>
        <w:t xml:space="preserve"> участника закупки (исполнителя) и соисполнителя (при наличии соисполнителя)  на работы (услуги) по </w:t>
      </w:r>
      <w:proofErr w:type="spellStart"/>
      <w:r w:rsidRPr="00892A8E">
        <w:rPr>
          <w:sz w:val="22"/>
          <w:szCs w:val="22"/>
        </w:rPr>
        <w:t>сурдологии</w:t>
      </w:r>
      <w:proofErr w:type="spellEnd"/>
      <w:r w:rsidRPr="00892A8E">
        <w:rPr>
          <w:sz w:val="22"/>
          <w:szCs w:val="22"/>
        </w:rPr>
        <w:t>-оториноларингологии является обязательным условием (Федеральный закон от 04.05.2011 г. № 99-ФЗ; Постановление Правительства РФ от 01.06.2021 № 852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892A8E">
        <w:rPr>
          <w:sz w:val="22"/>
          <w:szCs w:val="22"/>
        </w:rPr>
        <w:t>Сколково</w:t>
      </w:r>
      <w:proofErr w:type="spellEnd"/>
      <w:r w:rsidRPr="00892A8E">
        <w:rPr>
          <w:sz w:val="22"/>
          <w:szCs w:val="22"/>
        </w:rPr>
        <w:t>").</w:t>
      </w:r>
    </w:p>
    <w:p w:rsidR="008A56ED" w:rsidRPr="00892A8E" w:rsidRDefault="008A56ED" w:rsidP="008A56ED">
      <w:pPr>
        <w:ind w:firstLine="567"/>
        <w:jc w:val="center"/>
        <w:rPr>
          <w:b/>
          <w:sz w:val="22"/>
          <w:szCs w:val="22"/>
        </w:rPr>
      </w:pPr>
      <w:bookmarkStart w:id="0" w:name="_GoBack"/>
      <w:bookmarkEnd w:id="0"/>
      <w:r w:rsidRPr="00892A8E">
        <w:rPr>
          <w:b/>
          <w:sz w:val="22"/>
          <w:szCs w:val="22"/>
          <w:lang w:eastAsia="ru-RU"/>
        </w:rPr>
        <w:t>Требования к сроку и (или) объему предоставленных гарантий качества товара:</w:t>
      </w:r>
    </w:p>
    <w:p w:rsidR="008A56ED" w:rsidRPr="00892A8E" w:rsidRDefault="008A56ED" w:rsidP="008A56ED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Гарантийный срок эксплуатации слуховых аппаратов должен составлять не менее 12 месяцев.</w:t>
      </w:r>
    </w:p>
    <w:p w:rsidR="008A56ED" w:rsidRPr="00892A8E" w:rsidRDefault="008A56ED" w:rsidP="008A56ED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  <w:lang w:eastAsia="ru-RU"/>
        </w:rPr>
        <w:t>Срок гарантийного ремонта со дня обращения пользователя не должен превышать 20 рабочих дней.</w:t>
      </w:r>
    </w:p>
    <w:p w:rsidR="008A56ED" w:rsidRPr="00892A8E" w:rsidRDefault="008A56ED" w:rsidP="008A56ED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  <w:lang w:eastAsia="ru-RU"/>
        </w:rPr>
        <w:t xml:space="preserve">Обязательно наличие гарантийных талонов, дающих право на бесплатный ремонт изделия во время гарантийного срока пользования.    </w:t>
      </w:r>
    </w:p>
    <w:p w:rsidR="008A56ED" w:rsidRPr="00892A8E" w:rsidRDefault="008A56ED" w:rsidP="008A56ED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Подбор и настройка слуховых аппаратов осуществляется по месту нахождения </w:t>
      </w:r>
      <w:proofErr w:type="spellStart"/>
      <w:r w:rsidRPr="00892A8E">
        <w:rPr>
          <w:sz w:val="22"/>
          <w:szCs w:val="22"/>
        </w:rPr>
        <w:t>сурдологических</w:t>
      </w:r>
      <w:proofErr w:type="spellEnd"/>
      <w:r w:rsidRPr="00892A8E">
        <w:rPr>
          <w:sz w:val="22"/>
          <w:szCs w:val="22"/>
        </w:rPr>
        <w:t xml:space="preserve"> кабинетов, расположенных на территории Свердловской области.</w:t>
      </w:r>
    </w:p>
    <w:p w:rsidR="008A56ED" w:rsidRPr="00892A8E" w:rsidRDefault="008A56ED" w:rsidP="00892A8E">
      <w:pPr>
        <w:ind w:firstLine="567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Срок поставки товара до: </w:t>
      </w:r>
      <w:r w:rsidR="00394102" w:rsidRPr="00892A8E">
        <w:rPr>
          <w:sz w:val="22"/>
          <w:szCs w:val="22"/>
        </w:rPr>
        <w:t>20</w:t>
      </w:r>
      <w:r w:rsidR="00B6463E" w:rsidRPr="00892A8E">
        <w:rPr>
          <w:sz w:val="22"/>
          <w:szCs w:val="22"/>
        </w:rPr>
        <w:t>.</w:t>
      </w:r>
      <w:r w:rsidR="00394102" w:rsidRPr="00892A8E">
        <w:rPr>
          <w:sz w:val="22"/>
          <w:szCs w:val="22"/>
        </w:rPr>
        <w:t>11</w:t>
      </w:r>
      <w:r w:rsidRPr="00892A8E">
        <w:rPr>
          <w:sz w:val="22"/>
          <w:szCs w:val="22"/>
        </w:rPr>
        <w:t>.202</w:t>
      </w:r>
      <w:r w:rsidR="00B6463E" w:rsidRPr="00892A8E">
        <w:rPr>
          <w:sz w:val="22"/>
          <w:szCs w:val="22"/>
        </w:rPr>
        <w:t>3</w:t>
      </w:r>
    </w:p>
    <w:p w:rsidR="008A56ED" w:rsidRPr="00892A8E" w:rsidRDefault="008A56ED" w:rsidP="008A56ED">
      <w:pPr>
        <w:widowControl w:val="0"/>
        <w:rPr>
          <w:rFonts w:eastAsia="Lucida Sans Unicode"/>
          <w:color w:val="000000"/>
          <w:sz w:val="22"/>
          <w:szCs w:val="22"/>
          <w:lang w:eastAsia="en-US" w:bidi="en-US"/>
        </w:rPr>
      </w:pPr>
    </w:p>
    <w:tbl>
      <w:tblPr>
        <w:tblpPr w:leftFromText="180" w:rightFromText="180" w:vertAnchor="text" w:horzAnchor="margin" w:tblpXSpec="center" w:tblpY="430"/>
        <w:tblW w:w="9606" w:type="dxa"/>
        <w:tblLayout w:type="fixed"/>
        <w:tblLook w:val="04A0" w:firstRow="1" w:lastRow="0" w:firstColumn="1" w:lastColumn="0" w:noHBand="0" w:noVBand="1"/>
      </w:tblPr>
      <w:tblGrid>
        <w:gridCol w:w="846"/>
        <w:gridCol w:w="6581"/>
        <w:gridCol w:w="2152"/>
        <w:gridCol w:w="27"/>
      </w:tblGrid>
      <w:tr w:rsidR="008A56ED" w:rsidRPr="00892A8E" w:rsidTr="00394102">
        <w:trPr>
          <w:gridAfter w:val="1"/>
          <w:wAfter w:w="27" w:type="dxa"/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№п/п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Характеристики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Слуховой аппарат </w:t>
            </w:r>
            <w:r w:rsidRPr="00892A8E">
              <w:rPr>
                <w:rFonts w:eastAsia="Lucida Sans Unicode"/>
                <w:bCs/>
                <w:color w:val="000000"/>
                <w:sz w:val="22"/>
                <w:szCs w:val="22"/>
                <w:lang w:eastAsia="en-US" w:bidi="en-US"/>
              </w:rPr>
              <w:t>цифровой заушный сверхмощный</w:t>
            </w: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 </w:t>
            </w:r>
          </w:p>
          <w:p w:rsidR="008A56ED" w:rsidRPr="00892A8E" w:rsidRDefault="008A56ED" w:rsidP="008A56ED">
            <w:pPr>
              <w:widowControl w:val="0"/>
              <w:snapToGrid w:val="0"/>
              <w:jc w:val="center"/>
              <w:rPr>
                <w:rFonts w:eastAsia="Lucida Sans Unicode"/>
                <w:b/>
                <w:color w:val="000000"/>
                <w:sz w:val="22"/>
                <w:szCs w:val="22"/>
                <w:lang w:eastAsia="en-US" w:bidi="en-US"/>
              </w:rPr>
            </w:pPr>
          </w:p>
        </w:tc>
      </w:tr>
      <w:tr w:rsidR="008A56ED" w:rsidRPr="00892A8E" w:rsidTr="00394102">
        <w:trPr>
          <w:gridAfter w:val="1"/>
          <w:wAfter w:w="27" w:type="dxa"/>
          <w:trHeight w:val="9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Диапазон частот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не уже 0,1 кГц - 4,5 кГц (диапазон может быть расширен)</w:t>
            </w:r>
          </w:p>
        </w:tc>
      </w:tr>
      <w:tr w:rsidR="008A56ED" w:rsidRPr="00892A8E" w:rsidTr="00394102">
        <w:trPr>
          <w:gridAfter w:val="1"/>
          <w:wAfter w:w="27" w:type="dxa"/>
          <w:trHeight w:val="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Максимальный ВУЗД 90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Pr="00892A8E" w:rsidRDefault="008A56ED" w:rsidP="009C6BC4">
            <w:pPr>
              <w:keepNext/>
              <w:widowControl w:val="0"/>
              <w:spacing w:line="200" w:lineRule="atLeast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не менее 142 </w:t>
            </w:r>
            <w:proofErr w:type="spellStart"/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Дб</w:t>
            </w:r>
            <w:proofErr w:type="spellEnd"/>
          </w:p>
        </w:tc>
      </w:tr>
      <w:tr w:rsidR="008A56ED" w:rsidRPr="00892A8E" w:rsidTr="00394102">
        <w:trPr>
          <w:gridAfter w:val="1"/>
          <w:wAfter w:w="27" w:type="dxa"/>
          <w:trHeight w:val="7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lastRenderedPageBreak/>
              <w:t>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Максимальное усиление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56ED" w:rsidRPr="00892A8E" w:rsidRDefault="008A56ED" w:rsidP="009C6BC4">
            <w:pPr>
              <w:keepNext/>
              <w:widowControl w:val="0"/>
              <w:spacing w:line="200" w:lineRule="atLeast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не менее 82 </w:t>
            </w:r>
            <w:proofErr w:type="spellStart"/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Дб</w:t>
            </w:r>
            <w:proofErr w:type="spellEnd"/>
          </w:p>
        </w:tc>
      </w:tr>
      <w:tr w:rsidR="008A56ED" w:rsidRPr="00892A8E" w:rsidTr="00394102">
        <w:trPr>
          <w:gridAfter w:val="1"/>
          <w:wAfter w:w="27" w:type="dxa"/>
          <w:trHeight w:val="1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Тип обработки цифрового сигнала: многоканальный или </w:t>
            </w:r>
            <w:proofErr w:type="spellStart"/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бесканальный</w:t>
            </w:r>
            <w:proofErr w:type="spell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не менее 16 каналов цифровой обработки или </w:t>
            </w:r>
            <w:proofErr w:type="spellStart"/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бесканальный</w:t>
            </w:r>
            <w:proofErr w:type="spellEnd"/>
          </w:p>
        </w:tc>
      </w:tr>
      <w:tr w:rsidR="008A56ED" w:rsidRPr="00892A8E" w:rsidTr="00394102">
        <w:trPr>
          <w:gridAfter w:val="1"/>
          <w:wAfter w:w="27" w:type="dxa"/>
          <w:trHeight w:val="6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Программ прослушивания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Не менее 3</w:t>
            </w:r>
          </w:p>
        </w:tc>
      </w:tr>
      <w:tr w:rsidR="008A56ED" w:rsidRPr="00892A8E" w:rsidTr="00394102">
        <w:trPr>
          <w:gridAfter w:val="1"/>
          <w:wAfter w:w="27" w:type="dxa"/>
          <w:trHeight w:val="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Шумоподавление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11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Подавление шумов микрофона (тихих шумов)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Аудиовход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Регулятор громкости (автоматический или ручной)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Индукционная катушка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АРУ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Технология подавления обратной связи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Система подавления внезапных резких звуков 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Адаптивная направленность микрофона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Бинауральная синхронизация регулировка усиления и переключения программ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gridAfter w:val="1"/>
          <w:wAfter w:w="27" w:type="dxa"/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Возможность перемещения неслышимых звуков высокой частоты в область низкочастотного диапазона слышимости;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наличие</w:t>
            </w:r>
          </w:p>
        </w:tc>
      </w:tr>
      <w:tr w:rsidR="008A56ED" w:rsidRPr="00892A8E" w:rsidTr="00394102">
        <w:trPr>
          <w:trHeight w:val="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A56ED" w:rsidRPr="00892A8E" w:rsidRDefault="008A56ED" w:rsidP="009C6BC4">
            <w:pPr>
              <w:widowControl w:val="0"/>
              <w:jc w:val="center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17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A56ED" w:rsidRPr="00892A8E" w:rsidRDefault="008A56ED" w:rsidP="008A56ED">
            <w:pPr>
              <w:widowControl w:val="0"/>
              <w:ind w:right="-108"/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</w:pP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Все слуховые аппараты поставляются в стандартной комплектации: элемент питания 2 </w:t>
            </w:r>
            <w:proofErr w:type="spellStart"/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шт</w:t>
            </w:r>
            <w:proofErr w:type="spellEnd"/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, стандартные вкладыши</w:t>
            </w:r>
            <w:r w:rsid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- 1 штука</w:t>
            </w: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, паспорт или руководство по эксплуатации на русском языке. Используемые типы элементов питания слуховых аппаратов </w:t>
            </w:r>
            <w:r w:rsidR="00ED5005"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 xml:space="preserve">(поставляются в комплекте): 675 или 13 или </w:t>
            </w:r>
            <w:r w:rsidRPr="00892A8E">
              <w:rPr>
                <w:rFonts w:eastAsia="Lucida Sans Unicode"/>
                <w:color w:val="000000"/>
                <w:sz w:val="22"/>
                <w:szCs w:val="22"/>
                <w:lang w:eastAsia="en-US" w:bidi="en-US"/>
              </w:rPr>
              <w:t>312.</w:t>
            </w:r>
          </w:p>
        </w:tc>
      </w:tr>
    </w:tbl>
    <w:p w:rsidR="006C0CC7" w:rsidRPr="00892A8E" w:rsidRDefault="006C0CC7">
      <w:pPr>
        <w:rPr>
          <w:sz w:val="22"/>
          <w:szCs w:val="22"/>
        </w:rPr>
      </w:pPr>
    </w:p>
    <w:p w:rsidR="00F835EF" w:rsidRPr="00892A8E" w:rsidRDefault="00F835EF" w:rsidP="00F835EF">
      <w:pPr>
        <w:tabs>
          <w:tab w:val="num" w:pos="900"/>
        </w:tabs>
        <w:ind w:left="142" w:firstLine="758"/>
        <w:jc w:val="center"/>
        <w:rPr>
          <w:b/>
          <w:sz w:val="22"/>
          <w:szCs w:val="22"/>
        </w:rPr>
      </w:pPr>
    </w:p>
    <w:p w:rsidR="00ED5005" w:rsidRPr="00892A8E" w:rsidRDefault="00ED5005" w:rsidP="00726347">
      <w:pPr>
        <w:rPr>
          <w:sz w:val="22"/>
          <w:szCs w:val="22"/>
        </w:rPr>
      </w:pPr>
    </w:p>
    <w:p w:rsidR="00ED5005" w:rsidRPr="00892A8E" w:rsidRDefault="00ED5005" w:rsidP="00ED5005">
      <w:pPr>
        <w:widowControl w:val="0"/>
        <w:rPr>
          <w:rFonts w:eastAsia="Lucida Sans Unicode"/>
          <w:color w:val="000000"/>
          <w:sz w:val="22"/>
          <w:szCs w:val="22"/>
          <w:lang w:eastAsia="en-US" w:bidi="en-US"/>
        </w:rPr>
      </w:pPr>
      <w:r w:rsidRPr="00892A8E">
        <w:rPr>
          <w:rFonts w:eastAsia="Lucida Sans Unicode"/>
          <w:color w:val="000000"/>
          <w:sz w:val="22"/>
          <w:szCs w:val="22"/>
          <w:lang w:eastAsia="en-US" w:bidi="en-US"/>
        </w:rPr>
        <w:t>Количество - 300 шт.</w:t>
      </w:r>
    </w:p>
    <w:p w:rsidR="00ED5005" w:rsidRPr="00892A8E" w:rsidRDefault="00ED5005" w:rsidP="00054B29">
      <w:pPr>
        <w:ind w:firstLine="567"/>
        <w:jc w:val="center"/>
        <w:rPr>
          <w:sz w:val="22"/>
          <w:szCs w:val="22"/>
        </w:rPr>
      </w:pPr>
    </w:p>
    <w:p w:rsidR="00054B29" w:rsidRPr="00892A8E" w:rsidRDefault="00054B29" w:rsidP="00054B29">
      <w:pPr>
        <w:ind w:firstLine="567"/>
        <w:jc w:val="center"/>
        <w:rPr>
          <w:sz w:val="22"/>
          <w:szCs w:val="22"/>
        </w:rPr>
      </w:pPr>
      <w:r w:rsidRPr="00892A8E">
        <w:rPr>
          <w:sz w:val="22"/>
          <w:szCs w:val="22"/>
        </w:rPr>
        <w:t>Обоснование необходимости использования технических и функциональных характеристик</w:t>
      </w:r>
    </w:p>
    <w:p w:rsidR="00054B29" w:rsidRPr="00892A8E" w:rsidRDefault="00054B29" w:rsidP="00054B29">
      <w:pPr>
        <w:ind w:firstLine="567"/>
        <w:jc w:val="both"/>
        <w:rPr>
          <w:b/>
          <w:sz w:val="22"/>
          <w:szCs w:val="22"/>
        </w:rPr>
      </w:pPr>
    </w:p>
    <w:p w:rsidR="00054B29" w:rsidRPr="00892A8E" w:rsidRDefault="00054B29" w:rsidP="00054B29">
      <w:pPr>
        <w:ind w:firstLine="567"/>
        <w:jc w:val="both"/>
        <w:rPr>
          <w:b/>
          <w:sz w:val="22"/>
          <w:szCs w:val="22"/>
        </w:rPr>
      </w:pPr>
    </w:p>
    <w:p w:rsidR="00054B29" w:rsidRPr="00892A8E" w:rsidRDefault="00054B29" w:rsidP="00054B29">
      <w:pPr>
        <w:pStyle w:val="ConsPlusNormal"/>
        <w:ind w:firstLine="54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В соответствии с Федеральным </w:t>
      </w:r>
      <w:proofErr w:type="gramStart"/>
      <w:r w:rsidRPr="00892A8E">
        <w:rPr>
          <w:sz w:val="22"/>
          <w:szCs w:val="22"/>
        </w:rPr>
        <w:t>законом  от</w:t>
      </w:r>
      <w:proofErr w:type="gramEnd"/>
      <w:r w:rsidRPr="00892A8E">
        <w:rPr>
          <w:sz w:val="22"/>
          <w:szCs w:val="22"/>
        </w:rPr>
        <w:t xml:space="preserve"> 24.11.1995г.  № 181-ФЗ «О социальной защите инвалидов в Российской Федерации</w:t>
      </w:r>
      <w:proofErr w:type="gramStart"/>
      <w:r w:rsidRPr="00892A8E">
        <w:rPr>
          <w:sz w:val="22"/>
          <w:szCs w:val="22"/>
        </w:rPr>
        <w:t>»,  реабилитация</w:t>
      </w:r>
      <w:proofErr w:type="gramEnd"/>
      <w:r w:rsidRPr="00892A8E">
        <w:rPr>
          <w:sz w:val="22"/>
          <w:szCs w:val="22"/>
        </w:rPr>
        <w:t xml:space="preserve">  инвалидов направлена на устранение или возможно более полную компенсацию ограничений жизнедеятельности инвалидов в целях их социальной адаптации. Технические характеристики слуховых аппаратов, призваны обеспечить получение максимально возможного реабилитационного эффекта при использовании конечными потребителями. </w:t>
      </w:r>
    </w:p>
    <w:p w:rsidR="00054B29" w:rsidRPr="00892A8E" w:rsidRDefault="00054B29" w:rsidP="00054B29">
      <w:pPr>
        <w:pStyle w:val="ConsPlusNormal"/>
        <w:ind w:firstLine="540"/>
        <w:jc w:val="both"/>
        <w:rPr>
          <w:sz w:val="22"/>
          <w:szCs w:val="22"/>
        </w:rPr>
      </w:pPr>
      <w:proofErr w:type="gramStart"/>
      <w:r w:rsidRPr="00892A8E">
        <w:rPr>
          <w:sz w:val="22"/>
          <w:szCs w:val="22"/>
        </w:rPr>
        <w:t>В частности</w:t>
      </w:r>
      <w:proofErr w:type="gramEnd"/>
      <w:r w:rsidRPr="00892A8E">
        <w:rPr>
          <w:sz w:val="22"/>
          <w:szCs w:val="22"/>
        </w:rPr>
        <w:t>: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Многоканальность позволяет значительно улучшить разборчивость речи и повышает возможность слухового аппарата настраиваться на индивидуальные нарушения слуха инвалида. </w:t>
      </w:r>
      <w:proofErr w:type="spellStart"/>
      <w:r w:rsidRPr="00892A8E">
        <w:rPr>
          <w:sz w:val="22"/>
          <w:szCs w:val="22"/>
        </w:rPr>
        <w:t>Бесканальная</w:t>
      </w:r>
      <w:proofErr w:type="spellEnd"/>
      <w:r w:rsidRPr="00892A8E">
        <w:rPr>
          <w:sz w:val="22"/>
          <w:szCs w:val="22"/>
        </w:rPr>
        <w:t xml:space="preserve"> технология обеспечивает наилучшую разборчивость речи, позволяет обработать звук как единое целое на всем диапазоне частот без </w:t>
      </w:r>
      <w:proofErr w:type="gramStart"/>
      <w:r w:rsidRPr="00892A8E">
        <w:rPr>
          <w:sz w:val="22"/>
          <w:szCs w:val="22"/>
        </w:rPr>
        <w:t>разделения  входящих</w:t>
      </w:r>
      <w:proofErr w:type="gramEnd"/>
      <w:r w:rsidRPr="00892A8E">
        <w:rPr>
          <w:sz w:val="22"/>
          <w:szCs w:val="22"/>
        </w:rPr>
        <w:t xml:space="preserve"> звуковых сигналов на каналы. 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Программы прослушивания позволяют применять для различных акустических ситуаций разные настройки параметров слухового аппарата, что улучшает разборчивость речи;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Возможность изменения интенсивности подавления шума в зависимости от входящего уровня и типа шумового звука </w:t>
      </w:r>
      <w:r w:rsidR="00394102" w:rsidRPr="00892A8E">
        <w:rPr>
          <w:sz w:val="22"/>
          <w:szCs w:val="22"/>
        </w:rPr>
        <w:t>–</w:t>
      </w:r>
      <w:r w:rsidRPr="00892A8E">
        <w:rPr>
          <w:sz w:val="22"/>
          <w:szCs w:val="22"/>
        </w:rPr>
        <w:t xml:space="preserve"> повышает</w:t>
      </w:r>
      <w:r w:rsidR="00394102" w:rsidRPr="00892A8E">
        <w:rPr>
          <w:sz w:val="22"/>
          <w:szCs w:val="22"/>
        </w:rPr>
        <w:t xml:space="preserve"> </w:t>
      </w:r>
      <w:r w:rsidRPr="00892A8E">
        <w:rPr>
          <w:sz w:val="22"/>
          <w:szCs w:val="22"/>
        </w:rPr>
        <w:t>комфорт прослушивания при различных уровнях внешних шумов;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Возможность изменения чувствительности микрофона в направлении полезного, не шумового, источника звука </w:t>
      </w:r>
      <w:r w:rsidR="00394102" w:rsidRPr="00892A8E">
        <w:rPr>
          <w:sz w:val="22"/>
          <w:szCs w:val="22"/>
        </w:rPr>
        <w:t>–</w:t>
      </w:r>
      <w:r w:rsidRPr="00892A8E">
        <w:rPr>
          <w:sz w:val="22"/>
          <w:szCs w:val="22"/>
        </w:rPr>
        <w:t xml:space="preserve"> значительно</w:t>
      </w:r>
      <w:r w:rsidR="00394102" w:rsidRPr="00892A8E">
        <w:rPr>
          <w:sz w:val="22"/>
          <w:szCs w:val="22"/>
        </w:rPr>
        <w:t xml:space="preserve"> </w:t>
      </w:r>
      <w:r w:rsidRPr="00892A8E">
        <w:rPr>
          <w:sz w:val="22"/>
          <w:szCs w:val="22"/>
        </w:rPr>
        <w:t xml:space="preserve">повышает разборчивость речи за счет выделения источника речи (выделяет источник речи на расстоянии </w:t>
      </w:r>
      <w:proofErr w:type="gramStart"/>
      <w:r w:rsidRPr="00892A8E">
        <w:rPr>
          <w:sz w:val="22"/>
          <w:szCs w:val="22"/>
        </w:rPr>
        <w:t>и  по</w:t>
      </w:r>
      <w:proofErr w:type="gramEnd"/>
      <w:r w:rsidRPr="00892A8E">
        <w:rPr>
          <w:sz w:val="22"/>
          <w:szCs w:val="22"/>
        </w:rPr>
        <w:t xml:space="preserve">  направлению);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Аудиовход – позволяет подключать к слуховому аппарату устройства для </w:t>
      </w:r>
      <w:proofErr w:type="spellStart"/>
      <w:r w:rsidRPr="00892A8E">
        <w:rPr>
          <w:sz w:val="22"/>
          <w:szCs w:val="22"/>
        </w:rPr>
        <w:t>аудиостиминга</w:t>
      </w:r>
      <w:proofErr w:type="spellEnd"/>
      <w:r w:rsidRPr="00892A8E">
        <w:rPr>
          <w:sz w:val="22"/>
          <w:szCs w:val="22"/>
        </w:rPr>
        <w:t xml:space="preserve"> (ФМ системы передачи звукового потока от внешних источников);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Регулятор громкости – позволяет пользователю оперативно регулировать уровень громкости в слуховом аппарате;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lastRenderedPageBreak/>
        <w:t>Индукционная катушка – позволяет использовать слуховой аппарат в местах общего пользования оборудованных индукционными панелями и петлями в рамках программы доступная среда;</w:t>
      </w:r>
    </w:p>
    <w:p w:rsidR="00054B29" w:rsidRPr="00892A8E" w:rsidRDefault="00054B29" w:rsidP="00054B29">
      <w:pPr>
        <w:numPr>
          <w:ilvl w:val="0"/>
          <w:numId w:val="2"/>
        </w:numPr>
        <w:jc w:val="both"/>
        <w:rPr>
          <w:sz w:val="22"/>
          <w:szCs w:val="22"/>
        </w:rPr>
      </w:pPr>
      <w:r w:rsidRPr="00892A8E">
        <w:rPr>
          <w:sz w:val="22"/>
          <w:szCs w:val="22"/>
        </w:rPr>
        <w:t xml:space="preserve">Автоматическая регулировка усиления (АРУ) – позволяет снижать усиление входящих звуков средней и высокой интенсивности, </w:t>
      </w:r>
      <w:proofErr w:type="gramStart"/>
      <w:r w:rsidRPr="00892A8E">
        <w:rPr>
          <w:sz w:val="22"/>
          <w:szCs w:val="22"/>
        </w:rPr>
        <w:t>оставляя  их</w:t>
      </w:r>
      <w:proofErr w:type="gramEnd"/>
      <w:r w:rsidRPr="00892A8E">
        <w:rPr>
          <w:sz w:val="22"/>
          <w:szCs w:val="22"/>
        </w:rPr>
        <w:t xml:space="preserve"> в пределах динамического диапазона слуха.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892A8E">
        <w:rPr>
          <w:sz w:val="22"/>
          <w:szCs w:val="22"/>
        </w:rPr>
        <w:t>Технология подавления обратной связи (устранение акустической обратной связи – свиста) удаляет дискомфортный резкий звук, возникающий в результате возврата части усиленного сигнала с динамика на микрофон;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Система подавления внезапных резких звуков (подавление резких высокоинтенсивных звуков) – защищает слух пользователя от резких звуков с высокой амплитудой, создает акустический комфорт;</w:t>
      </w:r>
    </w:p>
    <w:p w:rsidR="00054B29" w:rsidRPr="00892A8E" w:rsidRDefault="00054B29" w:rsidP="00054B2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Адаптивная направленность микрофона –</w:t>
      </w:r>
      <w:r w:rsidR="00394102" w:rsidRPr="00892A8E">
        <w:rPr>
          <w:sz w:val="22"/>
          <w:szCs w:val="22"/>
        </w:rPr>
        <w:t xml:space="preserve"> </w:t>
      </w:r>
      <w:r w:rsidRPr="00892A8E">
        <w:rPr>
          <w:sz w:val="22"/>
          <w:szCs w:val="22"/>
        </w:rPr>
        <w:t>повышает разборчивость речи за счет выделения источника речи (выделяет источник речи на расстоянии и направлении);</w:t>
      </w:r>
    </w:p>
    <w:p w:rsidR="00054B29" w:rsidRPr="00892A8E" w:rsidRDefault="00054B29" w:rsidP="00ED500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92A8E">
        <w:rPr>
          <w:sz w:val="22"/>
          <w:szCs w:val="22"/>
        </w:rPr>
        <w:t>Функция бинауральной синхронизации – восприятие громкости пациентами с потерями слуха складывается из восприятия интенсивности звука от обоих ушей, изменение громкости должно линейно изменяться в случае применения слуховых аппаратов на обоих ушах для получения корректного восприятия громкости пользователем.</w:t>
      </w:r>
    </w:p>
    <w:sectPr w:rsidR="00054B29" w:rsidRPr="00892A8E" w:rsidSect="00F835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C695E"/>
    <w:multiLevelType w:val="hybridMultilevel"/>
    <w:tmpl w:val="194CD45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ED"/>
    <w:rsid w:val="00054B29"/>
    <w:rsid w:val="00394102"/>
    <w:rsid w:val="006974AA"/>
    <w:rsid w:val="006C0CC7"/>
    <w:rsid w:val="00726347"/>
    <w:rsid w:val="0073187F"/>
    <w:rsid w:val="007F7320"/>
    <w:rsid w:val="00892A8E"/>
    <w:rsid w:val="008A56ED"/>
    <w:rsid w:val="009B7447"/>
    <w:rsid w:val="00A27DF1"/>
    <w:rsid w:val="00B6463E"/>
    <w:rsid w:val="00CF78D0"/>
    <w:rsid w:val="00D84595"/>
    <w:rsid w:val="00E26C9D"/>
    <w:rsid w:val="00E434E3"/>
    <w:rsid w:val="00ED5005"/>
    <w:rsid w:val="00F8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EFC30-99A3-43BF-B324-B2089C35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6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аблицы"/>
    <w:basedOn w:val="a"/>
    <w:rsid w:val="008A56ED"/>
    <w:pPr>
      <w:widowControl w:val="0"/>
      <w:suppressLineNumbers/>
      <w:jc w:val="center"/>
    </w:pPr>
    <w:rPr>
      <w:rFonts w:eastAsia="Arial Unicode MS" w:cs="Tahoma"/>
      <w:b/>
      <w:bCs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27D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DF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A27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37C09-F92F-4E73-90F0-6079AF14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Григорова Ольга Сергеевна</dc:creator>
  <cp:keywords/>
  <dc:description/>
  <cp:lastModifiedBy>Ленчевская Валентина Ивановна</cp:lastModifiedBy>
  <cp:revision>26</cp:revision>
  <cp:lastPrinted>2023-07-19T10:38:00Z</cp:lastPrinted>
  <dcterms:created xsi:type="dcterms:W3CDTF">2021-11-12T08:17:00Z</dcterms:created>
  <dcterms:modified xsi:type="dcterms:W3CDTF">2023-08-01T11:23:00Z</dcterms:modified>
</cp:coreProperties>
</file>