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5" w:rsidRPr="00CD01D1" w:rsidRDefault="00DF1B05" w:rsidP="00494135">
      <w:pPr>
        <w:keepNext/>
        <w:widowControl w:val="0"/>
        <w:suppressAutoHyphens w:val="0"/>
        <w:jc w:val="right"/>
        <w:rPr>
          <w:bCs/>
          <w:sz w:val="24"/>
          <w:szCs w:val="24"/>
        </w:rPr>
      </w:pPr>
      <w:r w:rsidRPr="00CD01D1">
        <w:rPr>
          <w:bCs/>
          <w:sz w:val="24"/>
          <w:szCs w:val="24"/>
        </w:rPr>
        <w:t>Приложение № 1</w:t>
      </w:r>
    </w:p>
    <w:p w:rsidR="00DF1B05" w:rsidRPr="00CD01D1" w:rsidRDefault="00DF1B05" w:rsidP="00494135">
      <w:pPr>
        <w:keepNext/>
        <w:widowControl w:val="0"/>
        <w:suppressAutoHyphens w:val="0"/>
        <w:jc w:val="right"/>
        <w:rPr>
          <w:sz w:val="24"/>
          <w:szCs w:val="24"/>
        </w:rPr>
      </w:pPr>
      <w:r w:rsidRPr="00CD01D1">
        <w:rPr>
          <w:bCs/>
          <w:sz w:val="24"/>
          <w:szCs w:val="24"/>
        </w:rPr>
        <w:t xml:space="preserve">к </w:t>
      </w:r>
      <w:r w:rsidRPr="00CD01D1">
        <w:rPr>
          <w:sz w:val="24"/>
          <w:szCs w:val="24"/>
        </w:rPr>
        <w:t>извещению о проведении</w:t>
      </w:r>
    </w:p>
    <w:p w:rsidR="00DF1B05" w:rsidRPr="00CD01D1" w:rsidRDefault="00DF1B05" w:rsidP="00494135">
      <w:pPr>
        <w:keepNext/>
        <w:widowControl w:val="0"/>
        <w:suppressAutoHyphens w:val="0"/>
        <w:jc w:val="right"/>
        <w:rPr>
          <w:sz w:val="24"/>
          <w:szCs w:val="24"/>
          <w:lang w:eastAsia="ru-RU"/>
        </w:rPr>
      </w:pPr>
      <w:r w:rsidRPr="00CD01D1">
        <w:rPr>
          <w:sz w:val="24"/>
          <w:szCs w:val="24"/>
        </w:rPr>
        <w:t xml:space="preserve">открытого </w:t>
      </w:r>
      <w:r w:rsidR="00ED1635" w:rsidRPr="00CD01D1">
        <w:rPr>
          <w:sz w:val="24"/>
          <w:szCs w:val="24"/>
          <w:lang w:eastAsia="ru-RU"/>
        </w:rPr>
        <w:t>конкурса</w:t>
      </w:r>
    </w:p>
    <w:p w:rsidR="00DF1B05" w:rsidRPr="00CD01D1" w:rsidRDefault="00DF1B05" w:rsidP="00494135">
      <w:pPr>
        <w:keepNext/>
        <w:widowControl w:val="0"/>
        <w:suppressAutoHyphens w:val="0"/>
        <w:jc w:val="right"/>
        <w:rPr>
          <w:bCs/>
          <w:sz w:val="24"/>
          <w:szCs w:val="24"/>
          <w:lang w:eastAsia="en-US"/>
        </w:rPr>
      </w:pPr>
      <w:r w:rsidRPr="00CD01D1">
        <w:rPr>
          <w:sz w:val="24"/>
          <w:szCs w:val="24"/>
          <w:lang w:eastAsia="ru-RU"/>
        </w:rPr>
        <w:t>в электронной форме</w:t>
      </w:r>
    </w:p>
    <w:p w:rsidR="00DF1B05" w:rsidRPr="00CD01D1" w:rsidRDefault="00DF1B05" w:rsidP="00494135">
      <w:pPr>
        <w:keepNext/>
        <w:widowControl w:val="0"/>
        <w:suppressAutoHyphens w:val="0"/>
        <w:ind w:firstLine="851"/>
        <w:jc w:val="right"/>
        <w:rPr>
          <w:bCs/>
          <w:sz w:val="24"/>
          <w:szCs w:val="24"/>
        </w:rPr>
      </w:pPr>
    </w:p>
    <w:p w:rsidR="00DF1B05" w:rsidRPr="00CD01D1" w:rsidRDefault="00DF1B05" w:rsidP="00494135">
      <w:pPr>
        <w:keepNext/>
        <w:widowControl w:val="0"/>
        <w:suppressAutoHyphens w:val="0"/>
        <w:ind w:firstLine="851"/>
        <w:jc w:val="center"/>
        <w:rPr>
          <w:b/>
          <w:bCs/>
          <w:sz w:val="24"/>
          <w:szCs w:val="24"/>
        </w:rPr>
      </w:pPr>
      <w:r w:rsidRPr="00CD01D1">
        <w:rPr>
          <w:b/>
          <w:bCs/>
          <w:sz w:val="24"/>
          <w:szCs w:val="24"/>
        </w:rPr>
        <w:t>Описание объекта закупки</w:t>
      </w:r>
    </w:p>
    <w:p w:rsidR="00DF1B05" w:rsidRPr="00CD01D1" w:rsidRDefault="00DF1B05" w:rsidP="00494135">
      <w:pPr>
        <w:keepNext/>
        <w:widowControl w:val="0"/>
        <w:suppressAutoHyphens w:val="0"/>
        <w:ind w:firstLine="851"/>
        <w:jc w:val="center"/>
        <w:rPr>
          <w:b/>
          <w:bCs/>
          <w:sz w:val="24"/>
          <w:szCs w:val="24"/>
        </w:rPr>
      </w:pPr>
    </w:p>
    <w:p w:rsidR="00A33AA9" w:rsidRPr="00CD01D1" w:rsidRDefault="00DF1B05" w:rsidP="00E53877">
      <w:pPr>
        <w:pStyle w:val="a9"/>
        <w:keepNext/>
        <w:widowControl w:val="0"/>
        <w:suppressAutoHyphens w:val="0"/>
        <w:ind w:left="182" w:right="140" w:firstLine="526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Наименование объекта закупки</w:t>
      </w:r>
      <w:r w:rsidR="00D03625" w:rsidRPr="00CD01D1">
        <w:rPr>
          <w:rFonts w:cs="Times New Roman"/>
          <w:sz w:val="24"/>
        </w:rPr>
        <w:t>: Выполнение работ по изготовлению протезно-ортопедических изделий (</w:t>
      </w:r>
      <w:r w:rsidR="00F00C2B" w:rsidRPr="00CD01D1">
        <w:rPr>
          <w:rFonts w:cs="Times New Roman"/>
          <w:sz w:val="24"/>
        </w:rPr>
        <w:t>Протез бедра модульный с микропроцессорным управлением</w:t>
      </w:r>
      <w:r w:rsidR="00D03625" w:rsidRPr="00CD01D1">
        <w:rPr>
          <w:rFonts w:cs="Times New Roman"/>
          <w:sz w:val="24"/>
        </w:rPr>
        <w:t>) и обеспечению ими в 2023 году инвалидов</w:t>
      </w:r>
      <w:r w:rsidR="00D51DD2" w:rsidRPr="00CD01D1">
        <w:rPr>
          <w:rFonts w:cs="Times New Roman"/>
          <w:sz w:val="24"/>
        </w:rPr>
        <w:t>.</w:t>
      </w:r>
    </w:p>
    <w:p w:rsidR="00D03625" w:rsidRPr="00CD01D1" w:rsidRDefault="00D03625" w:rsidP="00494135">
      <w:pPr>
        <w:pStyle w:val="a9"/>
        <w:keepNext/>
        <w:widowControl w:val="0"/>
        <w:suppressAutoHyphens w:val="0"/>
        <w:jc w:val="both"/>
        <w:rPr>
          <w:rFonts w:cs="Times New Roman"/>
          <w:sz w:val="24"/>
        </w:rPr>
      </w:pPr>
    </w:p>
    <w:tbl>
      <w:tblPr>
        <w:tblW w:w="9467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847"/>
        <w:gridCol w:w="5975"/>
        <w:gridCol w:w="1167"/>
      </w:tblGrid>
      <w:tr w:rsidR="005B30AB" w:rsidRPr="00CD01D1" w:rsidTr="00823A62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  <w:r w:rsidRPr="00CD01D1">
              <w:rPr>
                <w:rFonts w:cs="Times New Roman"/>
                <w:sz w:val="24"/>
              </w:rPr>
              <w:t>№</w:t>
            </w:r>
          </w:p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  <w:proofErr w:type="gramStart"/>
            <w:r w:rsidRPr="00CD01D1">
              <w:rPr>
                <w:rFonts w:cs="Times New Roman"/>
                <w:sz w:val="24"/>
              </w:rPr>
              <w:t>п</w:t>
            </w:r>
            <w:proofErr w:type="gramEnd"/>
            <w:r w:rsidRPr="00CD01D1">
              <w:rPr>
                <w:rFonts w:cs="Times New Roman"/>
                <w:sz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  <w:r w:rsidRPr="00CD01D1">
              <w:rPr>
                <w:rFonts w:cs="Times New Roman"/>
                <w:sz w:val="24"/>
              </w:rPr>
              <w:t>Наименование изделия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  <w:r w:rsidRPr="00CD01D1">
              <w:rPr>
                <w:rFonts w:cs="Times New Roman"/>
                <w:sz w:val="24"/>
              </w:rPr>
              <w:t xml:space="preserve">Описание </w:t>
            </w:r>
            <w:proofErr w:type="gramStart"/>
            <w:r w:rsidRPr="00CD01D1">
              <w:rPr>
                <w:rFonts w:cs="Times New Roman"/>
                <w:sz w:val="24"/>
              </w:rPr>
              <w:t>функциональных</w:t>
            </w:r>
            <w:proofErr w:type="gramEnd"/>
            <w:r w:rsidRPr="00CD01D1">
              <w:rPr>
                <w:rFonts w:cs="Times New Roman"/>
                <w:sz w:val="24"/>
              </w:rPr>
              <w:t xml:space="preserve"> и технических</w:t>
            </w:r>
          </w:p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  <w:r w:rsidRPr="00CD01D1">
              <w:rPr>
                <w:rFonts w:cs="Times New Roman"/>
                <w:sz w:val="24"/>
              </w:rPr>
              <w:t>характеристик изделия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  <w:r w:rsidRPr="00CD01D1">
              <w:rPr>
                <w:rFonts w:cs="Times New Roman"/>
                <w:sz w:val="24"/>
              </w:rPr>
              <w:t xml:space="preserve">Количество изделий </w:t>
            </w:r>
            <w:r w:rsidRPr="00CD01D1">
              <w:rPr>
                <w:rFonts w:cs="Times New Roman"/>
                <w:sz w:val="24"/>
                <w:shd w:val="clear" w:color="auto" w:fill="FFFFFF"/>
              </w:rPr>
              <w:t>(</w:t>
            </w:r>
            <w:r w:rsidRPr="00CD01D1">
              <w:rPr>
                <w:rFonts w:cs="Times New Roman"/>
                <w:sz w:val="24"/>
              </w:rPr>
              <w:t>Штука (шт.)</w:t>
            </w:r>
            <w:r w:rsidRPr="00CD01D1">
              <w:rPr>
                <w:rFonts w:cs="Times New Roman"/>
                <w:sz w:val="24"/>
                <w:shd w:val="clear" w:color="auto" w:fill="FFFFFF"/>
              </w:rPr>
              <w:t>)</w:t>
            </w:r>
          </w:p>
        </w:tc>
      </w:tr>
      <w:tr w:rsidR="005B30AB" w:rsidRPr="00CD01D1" w:rsidTr="00823A62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  <w:r w:rsidRPr="00CD01D1">
              <w:rPr>
                <w:rFonts w:cs="Times New Roman"/>
                <w:sz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B" w:rsidRPr="00CD01D1" w:rsidRDefault="00823A62" w:rsidP="005B30AB">
            <w:pPr>
              <w:pStyle w:val="a9"/>
              <w:jc w:val="center"/>
              <w:rPr>
                <w:sz w:val="24"/>
              </w:rPr>
            </w:pPr>
            <w:r w:rsidRPr="00CD01D1">
              <w:rPr>
                <w:sz w:val="24"/>
              </w:rPr>
              <w:t>Наименование товара по КТРУ:</w:t>
            </w:r>
          </w:p>
          <w:p w:rsidR="005B30AB" w:rsidRPr="00CD01D1" w:rsidRDefault="007D565D" w:rsidP="005B30AB">
            <w:pPr>
              <w:pStyle w:val="a9"/>
              <w:jc w:val="center"/>
              <w:rPr>
                <w:sz w:val="24"/>
              </w:rPr>
            </w:pPr>
            <w:r w:rsidRPr="00CD01D1">
              <w:rPr>
                <w:sz w:val="24"/>
              </w:rPr>
              <w:t>Протез при вычленении тазобедренного сустава</w:t>
            </w:r>
          </w:p>
          <w:p w:rsidR="005B30AB" w:rsidRPr="00CD01D1" w:rsidRDefault="005B30AB" w:rsidP="005B30AB">
            <w:pPr>
              <w:pStyle w:val="a9"/>
              <w:jc w:val="center"/>
              <w:rPr>
                <w:sz w:val="24"/>
              </w:rPr>
            </w:pPr>
          </w:p>
          <w:p w:rsidR="005B30AB" w:rsidRPr="00CD01D1" w:rsidRDefault="005B30AB" w:rsidP="005B30AB">
            <w:pPr>
              <w:pStyle w:val="a9"/>
              <w:jc w:val="center"/>
              <w:rPr>
                <w:sz w:val="24"/>
              </w:rPr>
            </w:pPr>
          </w:p>
          <w:p w:rsidR="00823A62" w:rsidRPr="00CD01D1" w:rsidRDefault="00823A62" w:rsidP="005B30AB">
            <w:pPr>
              <w:pStyle w:val="a9"/>
              <w:jc w:val="center"/>
              <w:rPr>
                <w:sz w:val="24"/>
              </w:rPr>
            </w:pPr>
            <w:r w:rsidRPr="00CD01D1">
              <w:rPr>
                <w:sz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</w:t>
            </w:r>
          </w:p>
          <w:p w:rsidR="005B30AB" w:rsidRPr="00CD01D1" w:rsidRDefault="00823A62" w:rsidP="005B30AB">
            <w:pPr>
              <w:pStyle w:val="a9"/>
              <w:jc w:val="center"/>
              <w:rPr>
                <w:sz w:val="24"/>
              </w:rPr>
            </w:pPr>
            <w:r w:rsidRPr="00CD01D1">
              <w:rPr>
                <w:sz w:val="24"/>
              </w:rPr>
              <w:t xml:space="preserve"> № 86н:</w:t>
            </w:r>
          </w:p>
          <w:p w:rsidR="005B30AB" w:rsidRPr="00CD01D1" w:rsidRDefault="005B30AB" w:rsidP="005B30AB">
            <w:pPr>
              <w:pStyle w:val="a9"/>
              <w:jc w:val="center"/>
              <w:rPr>
                <w:sz w:val="24"/>
              </w:rPr>
            </w:pPr>
            <w:r w:rsidRPr="00CD01D1">
              <w:rPr>
                <w:sz w:val="24"/>
              </w:rPr>
              <w:t xml:space="preserve">Протез бедра модульный с микропроцессорным управлением </w:t>
            </w:r>
          </w:p>
          <w:p w:rsidR="005B30AB" w:rsidRPr="00CD01D1" w:rsidRDefault="005B30AB" w:rsidP="005B30A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C" w:rsidRPr="00CD01D1" w:rsidRDefault="0082141C" w:rsidP="0082141C">
            <w:pPr>
              <w:ind w:left="-7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01D1">
              <w:rPr>
                <w:color w:val="000000"/>
                <w:sz w:val="24"/>
                <w:szCs w:val="24"/>
                <w:lang w:eastAsia="ru-RU"/>
              </w:rPr>
              <w:t>Приемная гильза индивидуального изготовления по слепку с культи пациента. Изготовление пробной гильзы из термопласта. Постоянная гильза из слоистого пластика и карбонового волокна.  Крепление мышечно-вакуумное с использование вакуумного клапана.</w:t>
            </w:r>
          </w:p>
          <w:p w:rsidR="0082141C" w:rsidRPr="00CD01D1" w:rsidRDefault="0082141C" w:rsidP="0082141C">
            <w:pPr>
              <w:ind w:left="-7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01D1">
              <w:rPr>
                <w:color w:val="000000"/>
                <w:sz w:val="24"/>
                <w:szCs w:val="24"/>
                <w:lang w:eastAsia="ru-RU"/>
              </w:rPr>
              <w:t xml:space="preserve">Регулировочно-соединительные устройства соответствуют весовым и нагрузочным параметрам пациента. </w:t>
            </w:r>
            <w:proofErr w:type="gramStart"/>
            <w:r w:rsidRPr="00CD01D1">
              <w:rPr>
                <w:color w:val="000000"/>
                <w:sz w:val="24"/>
                <w:szCs w:val="24"/>
                <w:lang w:eastAsia="ru-RU"/>
              </w:rPr>
              <w:t xml:space="preserve">Одноосный гидравлический коленный модуль с полностью электронным контролем фазами опоры и переноса 3В1-3 </w:t>
            </w:r>
            <w:proofErr w:type="spellStart"/>
            <w:r w:rsidRPr="00CD01D1">
              <w:rPr>
                <w:color w:val="000000"/>
                <w:sz w:val="24"/>
                <w:szCs w:val="24"/>
                <w:lang w:eastAsia="ru-RU"/>
              </w:rPr>
              <w:t>Geniu</w:t>
            </w:r>
            <w:r w:rsidR="000E229B" w:rsidRPr="00CD01D1">
              <w:rPr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="000E229B" w:rsidRPr="00CD01D1">
              <w:rPr>
                <w:color w:val="000000"/>
                <w:sz w:val="24"/>
                <w:szCs w:val="24"/>
                <w:lang w:eastAsia="ru-RU"/>
              </w:rPr>
              <w:t xml:space="preserve"> или эквивалент – с защитой от </w:t>
            </w:r>
            <w:r w:rsidRPr="00CD01D1">
              <w:rPr>
                <w:color w:val="000000"/>
                <w:sz w:val="24"/>
                <w:szCs w:val="24"/>
                <w:lang w:eastAsia="ru-RU"/>
              </w:rPr>
              <w:t>брызг, с адаптивной функцией контроля подгибания угла 17 градусов, с адаптивным контролем фазы переноса, с ограничением сгибания в 65 градусов, интуитивная функция опоры, функция осознанной блокировки, функция спуска и подъема по лестнице переменным шагом.</w:t>
            </w:r>
            <w:proofErr w:type="gramEnd"/>
            <w:r w:rsidRPr="00CD01D1">
              <w:rPr>
                <w:color w:val="000000"/>
                <w:sz w:val="24"/>
                <w:szCs w:val="24"/>
                <w:lang w:eastAsia="ru-RU"/>
              </w:rPr>
              <w:t xml:space="preserve"> Облицовка протез</w:t>
            </w:r>
            <w:proofErr w:type="gramStart"/>
            <w:r w:rsidRPr="00CD01D1">
              <w:rPr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D01D1">
              <w:rPr>
                <w:color w:val="000000"/>
                <w:sz w:val="24"/>
                <w:szCs w:val="24"/>
                <w:lang w:eastAsia="ru-RU"/>
              </w:rPr>
              <w:t xml:space="preserve"> жесткая косметическая накладка с эластичной манжетой на щиколотку. Стопа энергосберегающая </w:t>
            </w:r>
            <w:proofErr w:type="spellStart"/>
            <w:r w:rsidRPr="00CD01D1">
              <w:rPr>
                <w:color w:val="000000"/>
                <w:sz w:val="24"/>
                <w:szCs w:val="24"/>
                <w:lang w:eastAsia="ru-RU"/>
              </w:rPr>
              <w:t>углепластиковая</w:t>
            </w:r>
            <w:proofErr w:type="spellEnd"/>
            <w:r w:rsidRPr="00CD01D1">
              <w:rPr>
                <w:color w:val="000000"/>
                <w:sz w:val="24"/>
                <w:szCs w:val="24"/>
                <w:lang w:eastAsia="ru-RU"/>
              </w:rPr>
              <w:t xml:space="preserve"> с расщепленной носочной частью и отведенным первым пальцем, стопа позволяет выполнять особенно мягкий перекат. Разделенная передняя часть стопы служит для улучшения характеристик сцепления с поверхностью опоры и </w:t>
            </w:r>
            <w:proofErr w:type="gramStart"/>
            <w:r w:rsidRPr="00CD01D1">
              <w:rPr>
                <w:color w:val="000000"/>
                <w:sz w:val="24"/>
                <w:szCs w:val="24"/>
                <w:lang w:eastAsia="ru-RU"/>
              </w:rPr>
              <w:t>обеспечивает за счет этого выполнение контролируемых движений благодаря этому обеспечивается</w:t>
            </w:r>
            <w:proofErr w:type="gramEnd"/>
            <w:r w:rsidRPr="00CD01D1">
              <w:rPr>
                <w:color w:val="000000"/>
                <w:sz w:val="24"/>
                <w:szCs w:val="24"/>
                <w:lang w:eastAsia="ru-RU"/>
              </w:rPr>
              <w:t xml:space="preserve"> надежная устойчивость при ходьбе по неровной поверхности или быстром изменении направления движения, как это бывает при занятии спортом. Применяется поворотное устройство. Все комплектующие соответствуют высокому уровню двигательной активности. Облицовка протез</w:t>
            </w:r>
            <w:proofErr w:type="gramStart"/>
            <w:r w:rsidRPr="00CD01D1">
              <w:rPr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D01D1">
              <w:rPr>
                <w:color w:val="000000"/>
                <w:sz w:val="24"/>
                <w:szCs w:val="24"/>
                <w:lang w:eastAsia="ru-RU"/>
              </w:rPr>
              <w:t xml:space="preserve"> жесткая косметическая накладка.</w:t>
            </w:r>
          </w:p>
          <w:p w:rsidR="005B30AB" w:rsidRPr="00CD01D1" w:rsidRDefault="0082141C" w:rsidP="0082141C">
            <w:pPr>
              <w:ind w:left="-79"/>
              <w:jc w:val="both"/>
              <w:rPr>
                <w:sz w:val="24"/>
                <w:szCs w:val="24"/>
                <w:lang w:eastAsia="ru-RU"/>
              </w:rPr>
            </w:pPr>
            <w:r w:rsidRPr="00CD01D1">
              <w:rPr>
                <w:color w:val="000000"/>
                <w:sz w:val="24"/>
                <w:szCs w:val="24"/>
                <w:lang w:eastAsia="ru-RU"/>
              </w:rPr>
              <w:t xml:space="preserve"> Гарантийный срок эксплуатации изделия должен составлять не менее 12 месяцев со дня выдачи готового изделия Получателю.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AB" w:rsidRPr="00CD01D1" w:rsidRDefault="005B30AB" w:rsidP="005B30A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D01D1">
              <w:rPr>
                <w:sz w:val="24"/>
                <w:szCs w:val="24"/>
              </w:rPr>
              <w:t>1</w:t>
            </w:r>
          </w:p>
        </w:tc>
      </w:tr>
      <w:tr w:rsidR="005B30AB" w:rsidRPr="00CD01D1" w:rsidTr="00823A62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  <w:r w:rsidRPr="00CD01D1">
              <w:rPr>
                <w:rFonts w:cs="Times New Roman"/>
                <w:sz w:val="24"/>
              </w:rPr>
              <w:t>Итого: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B" w:rsidRPr="00CD01D1" w:rsidRDefault="005B30AB" w:rsidP="009D5312">
            <w:pPr>
              <w:pStyle w:val="a9"/>
              <w:keepNext/>
              <w:widowControl w:val="0"/>
              <w:ind w:left="-80" w:right="-64"/>
              <w:contextualSpacing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CD01D1">
              <w:rPr>
                <w:rFonts w:cs="Times New Roman"/>
                <w:sz w:val="24"/>
              </w:rPr>
              <w:t>1</w:t>
            </w:r>
          </w:p>
        </w:tc>
      </w:tr>
    </w:tbl>
    <w:p w:rsidR="00D03625" w:rsidRPr="00CD01D1" w:rsidRDefault="00D03625" w:rsidP="00494135">
      <w:pPr>
        <w:pStyle w:val="a9"/>
        <w:keepNext/>
        <w:widowControl w:val="0"/>
        <w:suppressAutoHyphens w:val="0"/>
        <w:jc w:val="both"/>
        <w:rPr>
          <w:rFonts w:cs="Times New Roman"/>
          <w:b/>
          <w:sz w:val="24"/>
        </w:rPr>
      </w:pPr>
    </w:p>
    <w:p w:rsidR="004B5E0C" w:rsidRPr="00CD01D1" w:rsidRDefault="004B5E0C" w:rsidP="004B5E0C">
      <w:pPr>
        <w:ind w:firstLine="426"/>
        <w:jc w:val="both"/>
        <w:rPr>
          <w:sz w:val="24"/>
          <w:szCs w:val="24"/>
        </w:rPr>
      </w:pPr>
      <w:r w:rsidRPr="00CD01D1">
        <w:rPr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4B5E0C" w:rsidRPr="00CD01D1" w:rsidRDefault="004B5E0C" w:rsidP="004B5E0C">
      <w:pPr>
        <w:ind w:firstLine="426"/>
        <w:jc w:val="both"/>
        <w:rPr>
          <w:sz w:val="24"/>
          <w:szCs w:val="24"/>
        </w:rPr>
      </w:pPr>
      <w:proofErr w:type="gramStart"/>
      <w:r w:rsidRPr="00CD01D1">
        <w:rPr>
          <w:sz w:val="24"/>
          <w:szCs w:val="24"/>
        </w:rPr>
        <w:lastRenderedPageBreak/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4B5E0C" w:rsidRPr="00CD01D1" w:rsidRDefault="004B5E0C" w:rsidP="004B5E0C">
      <w:pPr>
        <w:ind w:firstLine="426"/>
        <w:jc w:val="both"/>
        <w:rPr>
          <w:sz w:val="24"/>
          <w:szCs w:val="24"/>
        </w:rPr>
      </w:pPr>
      <w:r w:rsidRPr="00CD01D1">
        <w:rPr>
          <w:sz w:val="24"/>
          <w:szCs w:val="24"/>
        </w:rPr>
        <w:t xml:space="preserve">Использование Заказчиком при описании изделий функциональных и технических характеристик обусловлено потребностью Получателей протезно-ортопедических изделий и индивидуальными программами реабилитации или </w:t>
      </w:r>
      <w:proofErr w:type="spellStart"/>
      <w:r w:rsidRPr="00CD01D1">
        <w:rPr>
          <w:sz w:val="24"/>
          <w:szCs w:val="24"/>
        </w:rPr>
        <w:t>абилитации</w:t>
      </w:r>
      <w:proofErr w:type="spellEnd"/>
      <w:r w:rsidRPr="00CD01D1">
        <w:rPr>
          <w:sz w:val="24"/>
          <w:szCs w:val="24"/>
        </w:rPr>
        <w:t xml:space="preserve"> инвалидов (ИПРА).</w:t>
      </w:r>
    </w:p>
    <w:p w:rsidR="004B5E0C" w:rsidRPr="00CD01D1" w:rsidRDefault="004B5E0C" w:rsidP="004B5E0C">
      <w:pPr>
        <w:ind w:firstLine="426"/>
        <w:jc w:val="both"/>
        <w:rPr>
          <w:sz w:val="24"/>
          <w:szCs w:val="24"/>
        </w:rPr>
      </w:pPr>
      <w:r w:rsidRPr="00CD01D1">
        <w:rPr>
          <w:sz w:val="24"/>
          <w:szCs w:val="24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 xml:space="preserve">Работа по изготовлению </w:t>
      </w:r>
      <w:proofErr w:type="spellStart"/>
      <w:r w:rsidRPr="00CD01D1">
        <w:rPr>
          <w:rFonts w:cs="Times New Roman"/>
          <w:sz w:val="24"/>
        </w:rPr>
        <w:t>протезно</w:t>
      </w:r>
      <w:proofErr w:type="spellEnd"/>
      <w:r w:rsidRPr="00CD01D1">
        <w:rPr>
          <w:rFonts w:cs="Times New Roman"/>
          <w:sz w:val="24"/>
        </w:rPr>
        <w:t xml:space="preserve"> - ортопедических изделий (Протез бедра модульный с микропроцессорным управлением) и обеспечению ими в 2023 году инвалидов включает в себя проведение комплекса медицинских, технических, производственных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пациентов с помощью протезов конечностей.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Данные работы проводятся с целью устранения или возможно полной компенсации ограничений жизнедеятельности, сохранения индивидуальных особенностей человека и компенсации его утраченных функциональных особенностей.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proofErr w:type="gramStart"/>
      <w:r w:rsidRPr="00CD01D1">
        <w:rPr>
          <w:rFonts w:cs="Times New Roman"/>
          <w:sz w:val="24"/>
        </w:rPr>
        <w:t>Выполнение работ предусматривает осмотр пациента и анализ ИПРА, предоставление пациенту информации о конструкции протеза, его функциональных возможностях и ограничениях, а также о планируемом реабилитационном эффекте, проведение лечения общей и сопутствующей патологии организма, комплекса реабилитационных мероприятий для подготовки к протезированию (при необходимости, в зависимости от вида протезирования), врачебный контроль за ходом оказания услуг по протезированию и врачебный контроль качества протезирования с</w:t>
      </w:r>
      <w:proofErr w:type="gramEnd"/>
      <w:r w:rsidRPr="00CD01D1">
        <w:rPr>
          <w:rFonts w:cs="Times New Roman"/>
          <w:sz w:val="24"/>
        </w:rPr>
        <w:t xml:space="preserve"> учетом корригирующей патологии, снятие мерок, изготовление приемной гильзы с культи Получателя, примерку, индивидуальную подгонку, изготовление протеза, обучение инвалида пользованию протезом,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протезно-ортопедического изделия за счет Исполнителя, а также иные мероприятия, предусмотренные государственными стандартами в области протезирования. 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 xml:space="preserve">Прием Получателей производить в специально оборудованном (оборудованных) </w:t>
      </w:r>
      <w:proofErr w:type="gramStart"/>
      <w:r w:rsidRPr="00CD01D1">
        <w:rPr>
          <w:rFonts w:cs="Times New Roman"/>
          <w:sz w:val="24"/>
        </w:rPr>
        <w:t>рабочем</w:t>
      </w:r>
      <w:proofErr w:type="gramEnd"/>
      <w:r w:rsidRPr="00CD01D1">
        <w:rPr>
          <w:rFonts w:cs="Times New Roman"/>
          <w:sz w:val="24"/>
        </w:rPr>
        <w:t xml:space="preserve"> месте (рабочих местах) Исполнителя. Специальное оборудованное рабочее место должно соответствовать условиям для беспрепятственного доступа к нему инвалидов в соответствии с требованиями, установленными Постановлением Правительства Российской Федерации № 363 от 29.03.2019г. «Об утверждении государственной программы Российской Федерации «Доступная среда».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требованиями: ГОСТ </w:t>
      </w:r>
      <w:proofErr w:type="gramStart"/>
      <w:r w:rsidRPr="00CD01D1">
        <w:rPr>
          <w:rFonts w:cs="Times New Roman"/>
          <w:sz w:val="24"/>
        </w:rPr>
        <w:t>Р</w:t>
      </w:r>
      <w:proofErr w:type="gramEnd"/>
      <w:r w:rsidRPr="00CD01D1">
        <w:rPr>
          <w:rFonts w:cs="Times New Roman"/>
          <w:sz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CD01D1">
        <w:rPr>
          <w:rFonts w:cs="Times New Roman"/>
          <w:sz w:val="24"/>
        </w:rPr>
        <w:t>цитотоксичность</w:t>
      </w:r>
      <w:proofErr w:type="spellEnd"/>
      <w:r w:rsidRPr="00CD01D1">
        <w:rPr>
          <w:rFonts w:cs="Times New Roman"/>
          <w:sz w:val="24"/>
        </w:rPr>
        <w:t xml:space="preserve">: методы </w:t>
      </w:r>
      <w:proofErr w:type="spellStart"/>
      <w:r w:rsidRPr="00CD01D1">
        <w:rPr>
          <w:rFonts w:cs="Times New Roman"/>
          <w:sz w:val="24"/>
        </w:rPr>
        <w:t>in</w:t>
      </w:r>
      <w:proofErr w:type="spellEnd"/>
      <w:r w:rsidRPr="00CD01D1">
        <w:rPr>
          <w:rFonts w:cs="Times New Roman"/>
          <w:sz w:val="24"/>
        </w:rPr>
        <w:t xml:space="preserve"> </w:t>
      </w:r>
      <w:proofErr w:type="spellStart"/>
      <w:r w:rsidRPr="00CD01D1">
        <w:rPr>
          <w:rFonts w:cs="Times New Roman"/>
          <w:sz w:val="24"/>
        </w:rPr>
        <w:t>vitro</w:t>
      </w:r>
      <w:proofErr w:type="spellEnd"/>
      <w:r w:rsidRPr="00CD01D1">
        <w:rPr>
          <w:rFonts w:cs="Times New Roman"/>
          <w:sz w:val="24"/>
        </w:rPr>
        <w:t xml:space="preserve"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Pr="00CD01D1">
        <w:rPr>
          <w:rFonts w:cs="Times New Roman"/>
          <w:sz w:val="24"/>
        </w:rPr>
        <w:t>Р</w:t>
      </w:r>
      <w:proofErr w:type="gramEnd"/>
      <w:r w:rsidRPr="00CD01D1">
        <w:rPr>
          <w:rFonts w:cs="Times New Roman"/>
          <w:sz w:val="24"/>
        </w:rPr>
        <w:t xml:space="preserve"> 51819-2022 </w:t>
      </w:r>
      <w:r w:rsidRPr="00CD01D1">
        <w:rPr>
          <w:rFonts w:cs="Times New Roman"/>
          <w:sz w:val="24"/>
        </w:rPr>
        <w:lastRenderedPageBreak/>
        <w:t xml:space="preserve">Национальный стандарт Российской Федерации. Протезирование и </w:t>
      </w:r>
      <w:proofErr w:type="spellStart"/>
      <w:r w:rsidRPr="00CD01D1">
        <w:rPr>
          <w:rFonts w:cs="Times New Roman"/>
          <w:sz w:val="24"/>
        </w:rPr>
        <w:t>ортезирование</w:t>
      </w:r>
      <w:proofErr w:type="spellEnd"/>
      <w:r w:rsidRPr="00CD01D1">
        <w:rPr>
          <w:rFonts w:cs="Times New Roman"/>
          <w:sz w:val="24"/>
        </w:rPr>
        <w:t xml:space="preserve"> верхних и нижних конечностей. Термины и определения; ГОСТ </w:t>
      </w:r>
      <w:proofErr w:type="gramStart"/>
      <w:r w:rsidRPr="00CD01D1">
        <w:rPr>
          <w:rFonts w:cs="Times New Roman"/>
          <w:sz w:val="24"/>
        </w:rPr>
        <w:t>Р</w:t>
      </w:r>
      <w:proofErr w:type="gramEnd"/>
      <w:r w:rsidRPr="00CD01D1">
        <w:rPr>
          <w:rFonts w:cs="Times New Roman"/>
          <w:sz w:val="24"/>
        </w:rPr>
        <w:t xml:space="preserve"> ИСО 22523-2007 Национальный стандарт Российской Федерации. Протезы конечностей и </w:t>
      </w:r>
      <w:proofErr w:type="spellStart"/>
      <w:r w:rsidRPr="00CD01D1">
        <w:rPr>
          <w:rFonts w:cs="Times New Roman"/>
          <w:sz w:val="24"/>
        </w:rPr>
        <w:t>ортезы</w:t>
      </w:r>
      <w:proofErr w:type="spellEnd"/>
      <w:r w:rsidRPr="00CD01D1">
        <w:rPr>
          <w:rFonts w:cs="Times New Roman"/>
          <w:sz w:val="24"/>
        </w:rPr>
        <w:t xml:space="preserve"> наружные. Требования и методы испытаний; ГОСТ </w:t>
      </w:r>
      <w:proofErr w:type="gramStart"/>
      <w:r w:rsidRPr="00CD01D1">
        <w:rPr>
          <w:rFonts w:cs="Times New Roman"/>
          <w:sz w:val="24"/>
        </w:rPr>
        <w:t>Р</w:t>
      </w:r>
      <w:proofErr w:type="gramEnd"/>
      <w:r w:rsidRPr="00CD01D1">
        <w:rPr>
          <w:rFonts w:cs="Times New Roman"/>
          <w:sz w:val="24"/>
        </w:rPr>
        <w:t xml:space="preserve"> 53869-2021 Национальный стандарт Российской Федерации. Протезы нижних конечностей. Технические требования; ГОСТ </w:t>
      </w:r>
      <w:proofErr w:type="gramStart"/>
      <w:r w:rsidRPr="00CD01D1">
        <w:rPr>
          <w:rFonts w:cs="Times New Roman"/>
          <w:sz w:val="24"/>
        </w:rPr>
        <w:t>Р</w:t>
      </w:r>
      <w:proofErr w:type="gramEnd"/>
      <w:r w:rsidRPr="00CD01D1">
        <w:rPr>
          <w:rFonts w:cs="Times New Roman"/>
          <w:sz w:val="24"/>
        </w:rPr>
        <w:t xml:space="preserve"> 53870-2021 Национальный стандарт Российской Федерации. Реабилитационные мероприятия. Услуги по протезированию нижних конечностей. Состав, содержание и порядок предоставления услуг.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-безопасность для кожных покровов;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-эстетичность;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-простота пользования.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При использовании изделия по назначению, не должно создаваться угрозы для жизни и здоровья Потребителя.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Маркировка упаковки изделий должна включать: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 страну-изготовителя;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 наименование предприятия-изготовителя, юридический адрес, товарный знак (при наличии);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 xml:space="preserve">- отличительные характеристики изделий в соответствии с их </w:t>
      </w:r>
      <w:proofErr w:type="gramStart"/>
      <w:r w:rsidRPr="00CD01D1">
        <w:rPr>
          <w:rFonts w:cs="Times New Roman"/>
          <w:sz w:val="24"/>
        </w:rPr>
        <w:t>техническим исполнением</w:t>
      </w:r>
      <w:proofErr w:type="gramEnd"/>
      <w:r w:rsidRPr="00CD01D1">
        <w:rPr>
          <w:rFonts w:cs="Times New Roman"/>
          <w:sz w:val="24"/>
        </w:rPr>
        <w:t xml:space="preserve"> (при наличии);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 номер артикула (при наличии);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 количество изделий в упаковке;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 дату (месяц, год) изготовления или гарантийный срок годности (при наличии);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 правила использования (при необходимости);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 штриховой код изделия (при наличии);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- информацию о сертификации (при наличии).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Срок гарантийного ремонта со дня обращения Получателя не должен превышать 20 (двадцати) рабочих дней.</w:t>
      </w:r>
    </w:p>
    <w:p w:rsidR="005B30AB" w:rsidRPr="00CD01D1" w:rsidRDefault="005B30AB" w:rsidP="005B30AB">
      <w:pPr>
        <w:pStyle w:val="a9"/>
        <w:keepNext/>
        <w:widowControl w:val="0"/>
        <w:ind w:firstLine="851"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5B30AB" w:rsidRPr="00CD01D1" w:rsidRDefault="005B30AB" w:rsidP="005B30AB">
      <w:pPr>
        <w:pStyle w:val="a9"/>
        <w:keepNext/>
        <w:widowControl w:val="0"/>
        <w:ind w:firstLine="851"/>
        <w:contextualSpacing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lastRenderedPageBreak/>
        <w:t>Место выполнения работ:</w:t>
      </w:r>
    </w:p>
    <w:p w:rsidR="005B30AB" w:rsidRPr="00CD01D1" w:rsidRDefault="005B30AB" w:rsidP="005B30AB">
      <w:pPr>
        <w:pStyle w:val="a9"/>
        <w:keepNext/>
        <w:widowControl w:val="0"/>
        <w:ind w:firstLine="851"/>
        <w:contextualSpacing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 xml:space="preserve">Место выполнения работ по изготовлению протезно-ортопедических изделий определяется Исполнителем. </w:t>
      </w:r>
    </w:p>
    <w:p w:rsidR="005B30AB" w:rsidRPr="00CD01D1" w:rsidRDefault="005B30AB" w:rsidP="005B30AB">
      <w:pPr>
        <w:pStyle w:val="a9"/>
        <w:keepNext/>
        <w:widowControl w:val="0"/>
        <w:ind w:firstLine="851"/>
        <w:contextualSpacing/>
        <w:jc w:val="both"/>
        <w:rPr>
          <w:rFonts w:cs="Times New Roman"/>
          <w:sz w:val="24"/>
        </w:rPr>
      </w:pPr>
      <w:proofErr w:type="gramStart"/>
      <w:r w:rsidRPr="00CD01D1">
        <w:rPr>
          <w:rFonts w:cs="Times New Roman"/>
          <w:sz w:val="24"/>
        </w:rPr>
        <w:t>При этом осмотр пациента и анализ ИПРА, предоставление пациенту информации о конструкции протеза, его функциональных возможностях и ограничениях, а также о планируемом реабилитационном эффекте, проведение лечения общей и сопутствующей патологии организма, комплекса реабилитационных мероприятий для подготовки к протезированию (при необходимости, в зависимости от вида протезирования), врачебный контроль за ходом оказания услуг по протезированию и врачебный контроль качества протезирования с учетом</w:t>
      </w:r>
      <w:proofErr w:type="gramEnd"/>
      <w:r w:rsidRPr="00CD01D1">
        <w:rPr>
          <w:rFonts w:cs="Times New Roman"/>
          <w:sz w:val="24"/>
        </w:rPr>
        <w:t xml:space="preserve"> </w:t>
      </w:r>
      <w:proofErr w:type="gramStart"/>
      <w:r w:rsidRPr="00CD01D1">
        <w:rPr>
          <w:rFonts w:cs="Times New Roman"/>
          <w:sz w:val="24"/>
        </w:rPr>
        <w:t>корригирующей патологии, снятие мерок, примерка, индивидуальная подгонка, обучение инвалида пользованию протезом, наблюдение, выдача технического средства реабилитации осуществляются Исполнителем в специально оборудованном (оборудованных) рабочем месте (рабочих местах) на территории Республики Башкортостан.</w:t>
      </w:r>
      <w:proofErr w:type="gramEnd"/>
    </w:p>
    <w:p w:rsidR="005B30AB" w:rsidRPr="00CD01D1" w:rsidRDefault="005B30AB" w:rsidP="005B30AB">
      <w:pPr>
        <w:pStyle w:val="a9"/>
        <w:keepNext/>
        <w:widowControl w:val="0"/>
        <w:ind w:firstLine="851"/>
        <w:contextualSpacing/>
        <w:jc w:val="both"/>
        <w:rPr>
          <w:rFonts w:cs="Times New Roman"/>
          <w:sz w:val="24"/>
        </w:rPr>
      </w:pPr>
      <w:proofErr w:type="gramStart"/>
      <w:r w:rsidRPr="00CD01D1">
        <w:rPr>
          <w:rFonts w:cs="Times New Roman"/>
          <w:sz w:val="24"/>
        </w:rPr>
        <w:t xml:space="preserve">Осмотр пациента и анализ ИПРА, проведение лечения общей и сопутствующей патологии организма, комплекса реабилитационных мероприятий для подготовки к протезированию (при необходимости, в зависимости от вида протезирования), врачебный контроль за ходом оказания услуг по протезированию, врачебный контроль качества протезирования с учетом корригирующей патологии должны быть выполнены Исполнителем </w:t>
      </w:r>
      <w:r w:rsidR="00305C94" w:rsidRPr="003B221E">
        <w:rPr>
          <w:rFonts w:cs="Times New Roman"/>
          <w:sz w:val="24"/>
        </w:rPr>
        <w:t>на территории Республики Башкортостан</w:t>
      </w:r>
      <w:r w:rsidR="00305C94" w:rsidRPr="00CD01D1">
        <w:rPr>
          <w:rFonts w:cs="Times New Roman"/>
          <w:sz w:val="24"/>
        </w:rPr>
        <w:t xml:space="preserve"> </w:t>
      </w:r>
      <w:r w:rsidRPr="00CD01D1">
        <w:rPr>
          <w:rFonts w:cs="Times New Roman"/>
          <w:sz w:val="24"/>
        </w:rPr>
        <w:t>при наличии лицензии (выписки из реестра лицензий) на осуществление медицинской</w:t>
      </w:r>
      <w:proofErr w:type="gramEnd"/>
      <w:r w:rsidRPr="00CD01D1">
        <w:rPr>
          <w:rFonts w:cs="Times New Roman"/>
          <w:sz w:val="24"/>
        </w:rPr>
        <w:t xml:space="preserve"> деятельности на организацию и выполнение работ (услуг) при оказании первичной специализированной медико-санитарной помощи в амбулаторных условиях по травматологии</w:t>
      </w:r>
      <w:r w:rsidR="0090291B">
        <w:rPr>
          <w:rFonts w:cs="Times New Roman"/>
          <w:sz w:val="24"/>
        </w:rPr>
        <w:t xml:space="preserve"> и ортопедии (далее – лицензия).</w:t>
      </w:r>
      <w:bookmarkStart w:id="0" w:name="_GoBack"/>
      <w:bookmarkEnd w:id="0"/>
    </w:p>
    <w:p w:rsidR="005B30AB" w:rsidRPr="00CD01D1" w:rsidRDefault="005B30AB" w:rsidP="005B30AB">
      <w:pPr>
        <w:pStyle w:val="a9"/>
        <w:keepNext/>
        <w:widowControl w:val="0"/>
        <w:ind w:firstLine="851"/>
        <w:contextualSpacing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Выполнение работ осуществляется при наличии направлений Отделения Фонда пенсионного и социального страхования Российской Федерации по Республике Башкортостан.</w:t>
      </w:r>
    </w:p>
    <w:p w:rsidR="005B30AB" w:rsidRPr="00CD01D1" w:rsidRDefault="005B30AB" w:rsidP="005B30AB">
      <w:pPr>
        <w:pStyle w:val="a9"/>
        <w:keepNext/>
        <w:widowControl w:val="0"/>
        <w:ind w:firstLine="851"/>
        <w:contextualSpacing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 xml:space="preserve">Срок выполнения работ: </w:t>
      </w:r>
    </w:p>
    <w:p w:rsidR="005B30AB" w:rsidRPr="00CD01D1" w:rsidRDefault="005B30AB" w:rsidP="005B30AB">
      <w:pPr>
        <w:pStyle w:val="a9"/>
        <w:keepNext/>
        <w:widowControl w:val="0"/>
        <w:ind w:firstLine="851"/>
        <w:contextualSpacing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Со дня заключения государственного контракта до 30.08.2023 г. должно быть выполнено 100 % общего объема работ.</w:t>
      </w:r>
    </w:p>
    <w:p w:rsidR="005B30AB" w:rsidRPr="00CD01D1" w:rsidRDefault="005B30AB" w:rsidP="005B30AB">
      <w:pPr>
        <w:pStyle w:val="a9"/>
        <w:keepNext/>
        <w:widowControl w:val="0"/>
        <w:ind w:firstLine="851"/>
        <w:contextualSpacing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5B30AB" w:rsidRPr="00CD01D1" w:rsidRDefault="005B30AB" w:rsidP="005B30AB">
      <w:pPr>
        <w:pStyle w:val="a9"/>
        <w:keepNext/>
        <w:widowControl w:val="0"/>
        <w:ind w:firstLine="851"/>
        <w:contextualSpacing/>
        <w:jc w:val="both"/>
        <w:rPr>
          <w:rFonts w:cs="Times New Roman"/>
          <w:sz w:val="24"/>
        </w:rPr>
      </w:pPr>
      <w:r w:rsidRPr="00CD01D1">
        <w:rPr>
          <w:rFonts w:cs="Times New Roman"/>
          <w:sz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823A62" w:rsidRPr="00CD01D1" w:rsidRDefault="00823A62" w:rsidP="00823A62">
      <w:pPr>
        <w:keepNext/>
        <w:ind w:firstLine="851"/>
        <w:contextualSpacing/>
        <w:jc w:val="both"/>
        <w:rPr>
          <w:sz w:val="24"/>
          <w:szCs w:val="24"/>
        </w:rPr>
      </w:pPr>
      <w:r w:rsidRPr="00CD01D1">
        <w:rPr>
          <w:sz w:val="24"/>
          <w:szCs w:val="24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823A62" w:rsidRPr="00E53877" w:rsidRDefault="00823A62" w:rsidP="00823A62">
      <w:pPr>
        <w:keepNext/>
        <w:widowControl w:val="0"/>
        <w:tabs>
          <w:tab w:val="left" w:pos="175"/>
        </w:tabs>
        <w:ind w:left="-68" w:right="-62" w:firstLine="919"/>
        <w:jc w:val="both"/>
        <w:rPr>
          <w:sz w:val="24"/>
        </w:rPr>
      </w:pPr>
      <w:r w:rsidRPr="00CD01D1">
        <w:rPr>
          <w:color w:val="000000" w:themeColor="text1"/>
          <w:sz w:val="24"/>
          <w:szCs w:val="24"/>
        </w:rPr>
        <w:t xml:space="preserve">Код позиции КТРУ: </w:t>
      </w:r>
      <w:r w:rsidRPr="00CD01D1">
        <w:rPr>
          <w:color w:val="000000" w:themeColor="text1"/>
          <w:sz w:val="24"/>
          <w:szCs w:val="24"/>
          <w:shd w:val="clear" w:color="auto" w:fill="FFFFFF"/>
        </w:rPr>
        <w:t>32.50.22.190-00005045</w:t>
      </w:r>
    </w:p>
    <w:sectPr w:rsidR="00823A62" w:rsidRPr="00E53877" w:rsidSect="000843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0FF7"/>
    <w:rsid w:val="00042D5C"/>
    <w:rsid w:val="00051AE8"/>
    <w:rsid w:val="00061F22"/>
    <w:rsid w:val="000656C0"/>
    <w:rsid w:val="000738A1"/>
    <w:rsid w:val="00082BA8"/>
    <w:rsid w:val="00084388"/>
    <w:rsid w:val="00090B69"/>
    <w:rsid w:val="000A064E"/>
    <w:rsid w:val="000A39ED"/>
    <w:rsid w:val="000B2152"/>
    <w:rsid w:val="000C25DF"/>
    <w:rsid w:val="000C26E7"/>
    <w:rsid w:val="000D27E4"/>
    <w:rsid w:val="000E229B"/>
    <w:rsid w:val="000F6D86"/>
    <w:rsid w:val="00117FF8"/>
    <w:rsid w:val="00176C3E"/>
    <w:rsid w:val="001825AC"/>
    <w:rsid w:val="00184B38"/>
    <w:rsid w:val="00190684"/>
    <w:rsid w:val="00191278"/>
    <w:rsid w:val="00196FD8"/>
    <w:rsid w:val="001A253F"/>
    <w:rsid w:val="001B0C30"/>
    <w:rsid w:val="001B1855"/>
    <w:rsid w:val="001B4512"/>
    <w:rsid w:val="001C751D"/>
    <w:rsid w:val="001D639B"/>
    <w:rsid w:val="001D79E2"/>
    <w:rsid w:val="001E2C27"/>
    <w:rsid w:val="001F6B96"/>
    <w:rsid w:val="00203779"/>
    <w:rsid w:val="002250C2"/>
    <w:rsid w:val="00260D92"/>
    <w:rsid w:val="002658A8"/>
    <w:rsid w:val="002670E4"/>
    <w:rsid w:val="00275E9B"/>
    <w:rsid w:val="00285E65"/>
    <w:rsid w:val="002944B2"/>
    <w:rsid w:val="00294C36"/>
    <w:rsid w:val="002B4B61"/>
    <w:rsid w:val="002B568F"/>
    <w:rsid w:val="002C6F82"/>
    <w:rsid w:val="002D2283"/>
    <w:rsid w:val="002D7736"/>
    <w:rsid w:val="002E3332"/>
    <w:rsid w:val="00303580"/>
    <w:rsid w:val="00304E8E"/>
    <w:rsid w:val="00305C94"/>
    <w:rsid w:val="00306B62"/>
    <w:rsid w:val="00342FF1"/>
    <w:rsid w:val="003447FA"/>
    <w:rsid w:val="00355DCB"/>
    <w:rsid w:val="0038766F"/>
    <w:rsid w:val="003C1330"/>
    <w:rsid w:val="003E4C63"/>
    <w:rsid w:val="003E772C"/>
    <w:rsid w:val="004204DA"/>
    <w:rsid w:val="00447BFC"/>
    <w:rsid w:val="004600F5"/>
    <w:rsid w:val="00463747"/>
    <w:rsid w:val="00494135"/>
    <w:rsid w:val="00497140"/>
    <w:rsid w:val="004B4270"/>
    <w:rsid w:val="004B5E0C"/>
    <w:rsid w:val="004C2F30"/>
    <w:rsid w:val="004F26CB"/>
    <w:rsid w:val="00507E1F"/>
    <w:rsid w:val="005330B6"/>
    <w:rsid w:val="00540DFB"/>
    <w:rsid w:val="005430DF"/>
    <w:rsid w:val="0054687F"/>
    <w:rsid w:val="005651DD"/>
    <w:rsid w:val="0057375C"/>
    <w:rsid w:val="00575626"/>
    <w:rsid w:val="005834E8"/>
    <w:rsid w:val="00593906"/>
    <w:rsid w:val="005B30AB"/>
    <w:rsid w:val="005C3974"/>
    <w:rsid w:val="005C442E"/>
    <w:rsid w:val="005F3727"/>
    <w:rsid w:val="005F524E"/>
    <w:rsid w:val="005F5651"/>
    <w:rsid w:val="00604706"/>
    <w:rsid w:val="00610A3B"/>
    <w:rsid w:val="00631766"/>
    <w:rsid w:val="00654C4E"/>
    <w:rsid w:val="006A05B7"/>
    <w:rsid w:val="006C0D8F"/>
    <w:rsid w:val="006D0B01"/>
    <w:rsid w:val="006D5339"/>
    <w:rsid w:val="0071767F"/>
    <w:rsid w:val="0073119F"/>
    <w:rsid w:val="00733CFF"/>
    <w:rsid w:val="00766D1B"/>
    <w:rsid w:val="007733F5"/>
    <w:rsid w:val="007758EC"/>
    <w:rsid w:val="00791C8C"/>
    <w:rsid w:val="007B6422"/>
    <w:rsid w:val="007C003C"/>
    <w:rsid w:val="007C3560"/>
    <w:rsid w:val="007C4182"/>
    <w:rsid w:val="007D565D"/>
    <w:rsid w:val="007E17E5"/>
    <w:rsid w:val="0080248A"/>
    <w:rsid w:val="0082141C"/>
    <w:rsid w:val="00823A62"/>
    <w:rsid w:val="008353CF"/>
    <w:rsid w:val="008453A1"/>
    <w:rsid w:val="008502B9"/>
    <w:rsid w:val="00861F80"/>
    <w:rsid w:val="008902A6"/>
    <w:rsid w:val="008A21A0"/>
    <w:rsid w:val="008E207D"/>
    <w:rsid w:val="008E2FF6"/>
    <w:rsid w:val="008F7C4C"/>
    <w:rsid w:val="008F7EDA"/>
    <w:rsid w:val="0090291B"/>
    <w:rsid w:val="009110DF"/>
    <w:rsid w:val="00912ECC"/>
    <w:rsid w:val="00921E6E"/>
    <w:rsid w:val="00954A87"/>
    <w:rsid w:val="009624F7"/>
    <w:rsid w:val="0097519C"/>
    <w:rsid w:val="00976BA9"/>
    <w:rsid w:val="009875DE"/>
    <w:rsid w:val="009B6249"/>
    <w:rsid w:val="00A07809"/>
    <w:rsid w:val="00A217AB"/>
    <w:rsid w:val="00A33AA9"/>
    <w:rsid w:val="00A43895"/>
    <w:rsid w:val="00A774BD"/>
    <w:rsid w:val="00AC4D20"/>
    <w:rsid w:val="00AF1346"/>
    <w:rsid w:val="00AF4140"/>
    <w:rsid w:val="00B11C50"/>
    <w:rsid w:val="00B43124"/>
    <w:rsid w:val="00B4341D"/>
    <w:rsid w:val="00B46201"/>
    <w:rsid w:val="00B63436"/>
    <w:rsid w:val="00B7156D"/>
    <w:rsid w:val="00B74843"/>
    <w:rsid w:val="00BC7672"/>
    <w:rsid w:val="00C00D85"/>
    <w:rsid w:val="00C12D04"/>
    <w:rsid w:val="00C251D0"/>
    <w:rsid w:val="00C252EB"/>
    <w:rsid w:val="00C51AA5"/>
    <w:rsid w:val="00C8725B"/>
    <w:rsid w:val="00C9232F"/>
    <w:rsid w:val="00CB3CA9"/>
    <w:rsid w:val="00CC41E1"/>
    <w:rsid w:val="00CD01D1"/>
    <w:rsid w:val="00CD5061"/>
    <w:rsid w:val="00CF1989"/>
    <w:rsid w:val="00CF48EC"/>
    <w:rsid w:val="00D03625"/>
    <w:rsid w:val="00D03ABD"/>
    <w:rsid w:val="00D11B15"/>
    <w:rsid w:val="00D14459"/>
    <w:rsid w:val="00D20519"/>
    <w:rsid w:val="00D40DE2"/>
    <w:rsid w:val="00D51DD2"/>
    <w:rsid w:val="00D5518D"/>
    <w:rsid w:val="00D70F22"/>
    <w:rsid w:val="00D86C19"/>
    <w:rsid w:val="00D86CB6"/>
    <w:rsid w:val="00D90929"/>
    <w:rsid w:val="00DA268B"/>
    <w:rsid w:val="00DF1B05"/>
    <w:rsid w:val="00E04858"/>
    <w:rsid w:val="00E32DC6"/>
    <w:rsid w:val="00E53877"/>
    <w:rsid w:val="00E55C0B"/>
    <w:rsid w:val="00E65FC4"/>
    <w:rsid w:val="00E748A0"/>
    <w:rsid w:val="00E931C0"/>
    <w:rsid w:val="00E962B7"/>
    <w:rsid w:val="00EC562B"/>
    <w:rsid w:val="00EC68F1"/>
    <w:rsid w:val="00ED1635"/>
    <w:rsid w:val="00F00C2B"/>
    <w:rsid w:val="00F3510E"/>
    <w:rsid w:val="00F36C1F"/>
    <w:rsid w:val="00F428C5"/>
    <w:rsid w:val="00F52CF9"/>
    <w:rsid w:val="00F63915"/>
    <w:rsid w:val="00F91B41"/>
    <w:rsid w:val="00FA172A"/>
    <w:rsid w:val="00FA5C4E"/>
    <w:rsid w:val="00FB6206"/>
    <w:rsid w:val="00FC651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semiHidden/>
    <w:unhideWhenUsed/>
    <w:rsid w:val="00DF1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semiHidden/>
    <w:unhideWhenUsed/>
    <w:rsid w:val="00DF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57E6-1C89-4798-B48E-2E653BB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48</cp:revision>
  <cp:lastPrinted>2023-04-10T10:44:00Z</cp:lastPrinted>
  <dcterms:created xsi:type="dcterms:W3CDTF">2022-02-18T07:47:00Z</dcterms:created>
  <dcterms:modified xsi:type="dcterms:W3CDTF">2023-04-18T04:38:00Z</dcterms:modified>
</cp:coreProperties>
</file>