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5650C2">
        <w:rPr>
          <w:rFonts w:cs="Times New Roman"/>
          <w:b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мочеполовой системы»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, «Болезни кожи и подкожной клетчатки»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профил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ткани», «Болезни органов пищеварения», «Болезни эндокринной системы</w:t>
      </w:r>
      <w:r w:rsidR="005650C2">
        <w:rPr>
          <w:rFonts w:cs="Times New Roman"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», «Болезни мочеполовой системы», «Болезни кожи и подкожной клетчатки»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5415C" w:rsidRPr="00104490">
        <w:rPr>
          <w:rFonts w:cs="Times New Roman"/>
          <w:sz w:val="28"/>
          <w:szCs w:val="28"/>
          <w:lang w:val="ru-RU"/>
        </w:rPr>
        <w:t>РФ от 2</w:t>
      </w:r>
      <w:r w:rsidR="0025415C">
        <w:rPr>
          <w:rFonts w:cs="Times New Roman"/>
          <w:sz w:val="28"/>
          <w:szCs w:val="28"/>
          <w:lang w:val="ru-RU"/>
        </w:rPr>
        <w:t>1</w:t>
      </w:r>
      <w:r w:rsidR="0025415C" w:rsidRPr="00104490">
        <w:rPr>
          <w:rFonts w:cs="Times New Roman"/>
          <w:sz w:val="28"/>
          <w:szCs w:val="28"/>
          <w:lang w:val="ru-RU"/>
        </w:rPr>
        <w:t>.12.20</w:t>
      </w:r>
      <w:r w:rsidR="0025415C">
        <w:rPr>
          <w:rFonts w:cs="Times New Roman"/>
          <w:sz w:val="28"/>
          <w:szCs w:val="28"/>
          <w:lang w:val="ru-RU"/>
        </w:rPr>
        <w:t>20</w:t>
      </w:r>
      <w:r w:rsidR="0025415C" w:rsidRPr="00104490">
        <w:rPr>
          <w:rFonts w:cs="Times New Roman"/>
          <w:sz w:val="28"/>
          <w:szCs w:val="28"/>
          <w:lang w:val="ru-RU"/>
        </w:rPr>
        <w:t xml:space="preserve"> № </w:t>
      </w:r>
      <w:r w:rsidR="0025415C">
        <w:rPr>
          <w:rFonts w:cs="Times New Roman"/>
          <w:sz w:val="28"/>
          <w:szCs w:val="28"/>
          <w:lang w:val="ru-RU"/>
        </w:rPr>
        <w:t xml:space="preserve">929н/1345н </w:t>
      </w:r>
      <w:r w:rsidR="0025415C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5415C">
        <w:rPr>
          <w:rFonts w:cs="Times New Roman"/>
          <w:sz w:val="28"/>
          <w:szCs w:val="28"/>
          <w:lang w:val="ru-RU"/>
        </w:rPr>
        <w:t>П</w:t>
      </w:r>
      <w:r w:rsidR="0025415C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5E4651" w:rsidRPr="004A6F4B" w:rsidRDefault="005E4651" w:rsidP="005E4651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2 630 340,00 рублей. (26303,40 * 100 = 2 630 340,00)</w:t>
      </w:r>
    </w:p>
    <w:p w:rsidR="005E4651" w:rsidRPr="004A6F4B" w:rsidRDefault="005E4651" w:rsidP="005E4651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Правительства РФ от 27.01.2022 № 57 «Об утверждении коэффициента индексации выплат, пособий и компенсаций в 2022 году». С 1 февраля 2022 года установлен коэффициент индексации 1,084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D5502A">
        <w:rPr>
          <w:rStyle w:val="11"/>
          <w:rFonts w:eastAsia="Times New Roman" w:cs="Times New Roman"/>
          <w:sz w:val="28"/>
          <w:szCs w:val="28"/>
          <w:lang w:val="ru-RU"/>
        </w:rPr>
        <w:t>Краснодарский край</w:t>
      </w:r>
      <w:r w:rsidR="00A128D0" w:rsidRPr="00230638">
        <w:rPr>
          <w:rStyle w:val="11"/>
          <w:rFonts w:eastAsia="Times New Roman"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D072E6" w:rsidRPr="004A6F4B" w:rsidRDefault="00D072E6" w:rsidP="00D072E6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>Сроки оказания услуг: апрель – декабрь 2023 года.</w:t>
      </w:r>
    </w:p>
    <w:p w:rsidR="00D072E6" w:rsidRPr="004A6F4B" w:rsidRDefault="00D072E6" w:rsidP="00D072E6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по 29.12.2023 года включительно,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не позднее 29.12.2023 года.</w:t>
      </w:r>
    </w:p>
    <w:p w:rsidR="00D072E6" w:rsidRDefault="00D072E6" w:rsidP="00D072E6">
      <w:pPr>
        <w:pStyle w:val="Standard"/>
        <w:ind w:firstLine="709"/>
        <w:jc w:val="both"/>
        <w:rPr>
          <w:rStyle w:val="11"/>
          <w:rFonts w:eastAsia="Times New Roman" w:cs="Times New Roman"/>
          <w:bCs/>
          <w:sz w:val="28"/>
          <w:szCs w:val="28"/>
          <w:lang w:val="ru-RU"/>
        </w:rPr>
      </w:pPr>
      <w:r w:rsidRPr="004A6F4B">
        <w:rPr>
          <w:rStyle w:val="11"/>
          <w:rFonts w:eastAsia="Times New Roman" w:cs="Times New Roman"/>
          <w:bCs/>
          <w:sz w:val="28"/>
          <w:szCs w:val="28"/>
          <w:lang w:val="ru-RU"/>
        </w:rPr>
        <w:lastRenderedPageBreak/>
        <w:t xml:space="preserve"> </w:t>
      </w:r>
    </w:p>
    <w:p w:rsidR="00BD2BA7" w:rsidRPr="00230638" w:rsidRDefault="00111DDA" w:rsidP="00D072E6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D5502A" w:rsidRPr="00230638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5502A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E9506C" w:rsidRPr="00230638" w:rsidRDefault="005650C2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 xml:space="preserve">          </w:t>
      </w:r>
      <w:r w:rsidR="00E950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="00E9506C"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BA2BBF" w:rsidRPr="00230638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BA2BBF" w:rsidRPr="00230638" w:rsidRDefault="00B6202D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</w:t>
      </w:r>
      <w:r w:rsidR="00BA2BBF"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BA2BBF" w:rsidRDefault="00B6202D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="00BA2BBF"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D5502A" w:rsidRDefault="00B6202D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="00D5502A"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</w:t>
      </w:r>
      <w:r w:rsidR="00D5502A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="00D5502A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</w:t>
      </w:r>
      <w:r w:rsidR="006C2851">
        <w:rPr>
          <w:rFonts w:cs="Times New Roman"/>
          <w:sz w:val="28"/>
          <w:szCs w:val="28"/>
          <w:shd w:val="clear" w:color="auto" w:fill="FFFFFF"/>
          <w:lang w:val="ru-RU"/>
        </w:rPr>
        <w:t>с болезнями мужских половых органов</w:t>
      </w:r>
      <w:r w:rsidR="00D5502A" w:rsidRPr="00230638">
        <w:rPr>
          <w:rFonts w:cs="Times New Roman"/>
          <w:sz w:val="28"/>
          <w:szCs w:val="28"/>
          <w:shd w:val="clear" w:color="auto" w:fill="FFFFFF"/>
          <w:lang w:val="ru-RU"/>
        </w:rPr>
        <w:t>».</w:t>
      </w:r>
    </w:p>
    <w:p w:rsidR="00D5502A" w:rsidRDefault="00B6202D" w:rsidP="006C2851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6C2851"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</w:t>
      </w:r>
      <w:r w:rsidR="006C2851"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="006C2851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</w:t>
      </w:r>
      <w:r w:rsidR="006C2851">
        <w:rPr>
          <w:rFonts w:cs="Times New Roman"/>
          <w:sz w:val="28"/>
          <w:szCs w:val="28"/>
          <w:shd w:val="clear" w:color="auto" w:fill="FFFFFF"/>
          <w:lang w:val="ru-RU"/>
        </w:rPr>
        <w:t>с болезнями женских тазовых органов, невоспалительными болезнями женских половых органов</w:t>
      </w:r>
      <w:r w:rsidR="006C2851" w:rsidRPr="00230638">
        <w:rPr>
          <w:rFonts w:cs="Times New Roman"/>
          <w:sz w:val="28"/>
          <w:szCs w:val="28"/>
          <w:shd w:val="clear" w:color="auto" w:fill="FFFFFF"/>
          <w:lang w:val="ru-RU"/>
        </w:rPr>
        <w:t>».</w:t>
      </w:r>
    </w:p>
    <w:p w:rsidR="00D5502A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кожи и по</w:t>
      </w:r>
      <w:r w:rsidR="00C11E4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д</w:t>
      </w:r>
      <w:r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кожной клетчатки: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- Приказ Минздравсоцразвития РФ от 2</w:t>
      </w:r>
      <w:r>
        <w:rPr>
          <w:rFonts w:cs="Times New Roman"/>
          <w:sz w:val="28"/>
          <w:szCs w:val="28"/>
          <w:lang w:val="ru-RU"/>
        </w:rPr>
        <w:t>2</w:t>
      </w:r>
      <w:r w:rsidRPr="00D97564">
        <w:rPr>
          <w:rFonts w:cs="Times New Roman"/>
          <w:sz w:val="28"/>
          <w:szCs w:val="28"/>
          <w:lang w:val="ru-RU"/>
        </w:rPr>
        <w:t xml:space="preserve">.11.2004 № </w:t>
      </w:r>
      <w:r>
        <w:rPr>
          <w:rFonts w:cs="Times New Roman"/>
          <w:sz w:val="28"/>
          <w:szCs w:val="28"/>
          <w:lang w:val="ru-RU"/>
        </w:rPr>
        <w:t>225</w:t>
      </w:r>
      <w:r w:rsidRPr="00D97564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</w:t>
      </w:r>
      <w:r>
        <w:rPr>
          <w:rFonts w:cs="Times New Roman"/>
          <w:sz w:val="28"/>
          <w:szCs w:val="28"/>
          <w:lang w:val="ru-RU"/>
        </w:rPr>
        <w:t>ьным дерматитом, эритемой, другими болезнями кожи и подкожной клетчатки</w:t>
      </w:r>
      <w:r w:rsidRPr="00D97564">
        <w:rPr>
          <w:rFonts w:cs="Times New Roman"/>
          <w:sz w:val="28"/>
          <w:szCs w:val="28"/>
          <w:lang w:val="ru-RU"/>
        </w:rPr>
        <w:t>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6728C1" w:rsidRDefault="006728C1" w:rsidP="006728C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EB5201" w:rsidRPr="00EB5201" w:rsidRDefault="006728C1" w:rsidP="00EB5201">
      <w:pPr>
        <w:pStyle w:val="1"/>
        <w:spacing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B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B520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5.1.Здания и сооружения организации (учреждения), оказывающей санаторно-курортные услуги, должны соответствовать требованиям Приказа Минстроя России от </w:t>
      </w:r>
      <w:r w:rsidR="00EB520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30.12.2020</w:t>
      </w:r>
      <w:r w:rsidRPr="00EB520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№ </w:t>
      </w:r>
      <w:r w:rsidR="00EB520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904</w:t>
      </w:r>
      <w:r w:rsidRPr="00EB520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/</w:t>
      </w:r>
      <w:r w:rsidR="00EB520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</w:t>
      </w:r>
      <w:r w:rsidR="00EB5201" w:rsidRPr="00EB5201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</w:t>
      </w:r>
      <w:r w:rsidR="00EB52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8C1" w:rsidRPr="00230638" w:rsidRDefault="006728C1" w:rsidP="00EB5201">
      <w:pPr>
        <w:pStyle w:val="Standard"/>
        <w:suppressAutoHyphens w:val="0"/>
        <w:ind w:firstLine="706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6728C1" w:rsidRPr="00230638" w:rsidRDefault="006728C1" w:rsidP="006728C1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.1. Площади лечебно-диагностических кабинетов организаций, оказы</w:t>
      </w:r>
      <w:r w:rsidRPr="00230638">
        <w:rPr>
          <w:rFonts w:cs="Times New Roman"/>
          <w:sz w:val="28"/>
          <w:szCs w:val="28"/>
          <w:lang w:val="ru-RU"/>
        </w:rPr>
        <w:lastRenderedPageBreak/>
        <w:t>вающих санаторно-курортные услуги, должны соответствовать действующим санитарным нормам.</w:t>
      </w:r>
    </w:p>
    <w:p w:rsidR="006728C1" w:rsidRPr="00230638" w:rsidRDefault="006728C1" w:rsidP="006728C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728C1" w:rsidRPr="00AE7D7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5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6728C1" w:rsidRPr="00AE7D7B" w:rsidRDefault="006728C1" w:rsidP="006728C1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5.6.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обеспечены службой приема (круглосуточный прием).</w:t>
      </w:r>
    </w:p>
    <w:p w:rsidR="006728C1" w:rsidRPr="00230638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7</w:t>
      </w:r>
      <w:r w:rsidRPr="00230638">
        <w:rPr>
          <w:rFonts w:cs="Times New Roman"/>
          <w:sz w:val="28"/>
          <w:szCs w:val="28"/>
          <w:lang w:val="ru-RU"/>
        </w:rPr>
        <w:t>. Дополнительно предоставляемые услуги:</w:t>
      </w:r>
    </w:p>
    <w:p w:rsidR="006728C1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6C2851">
        <w:rPr>
          <w:rFonts w:cs="Times New Roman"/>
          <w:sz w:val="28"/>
          <w:szCs w:val="28"/>
          <w:lang w:val="ru-RU"/>
        </w:rPr>
        <w:t>1</w:t>
      </w:r>
      <w:r w:rsidR="007E36E3">
        <w:rPr>
          <w:rFonts w:cs="Times New Roman"/>
          <w:sz w:val="28"/>
          <w:szCs w:val="28"/>
          <w:lang w:val="ru-RU"/>
        </w:rPr>
        <w:t>00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6C2851">
        <w:rPr>
          <w:rFonts w:cs="Times New Roman"/>
          <w:sz w:val="28"/>
          <w:szCs w:val="28"/>
          <w:lang w:val="ru-RU"/>
        </w:rPr>
        <w:t>1 800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6728C1" w:rsidRDefault="006728C1" w:rsidP="00D072E6">
      <w:pPr>
        <w:pStyle w:val="Standard"/>
        <w:suppressAutoHyphens w:val="0"/>
        <w:ind w:firstLine="706"/>
        <w:rPr>
          <w:sz w:val="28"/>
          <w:szCs w:val="28"/>
          <w:shd w:val="clear" w:color="auto" w:fill="FFFFFF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6728C1">
        <w:rPr>
          <w:sz w:val="28"/>
          <w:szCs w:val="28"/>
          <w:shd w:val="clear" w:color="auto" w:fill="FFFFFF"/>
          <w:lang w:val="ru-RU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6728C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местности с благоприятным климато-географическими условиями, позволяющими использовать </w:t>
      </w:r>
      <w:r w:rsidRPr="00230638">
        <w:rPr>
          <w:sz w:val="28"/>
          <w:szCs w:val="28"/>
          <w:shd w:val="clear" w:color="auto" w:fill="FFFFFF"/>
          <w:lang w:val="ru-RU"/>
        </w:rPr>
        <w:t>природны</w:t>
      </w:r>
      <w:r>
        <w:rPr>
          <w:sz w:val="28"/>
          <w:szCs w:val="28"/>
          <w:shd w:val="clear" w:color="auto" w:fill="FFFFFF"/>
          <w:lang w:val="ru-RU"/>
        </w:rPr>
        <w:t>е лечебные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фактор</w:t>
      </w:r>
      <w:r>
        <w:rPr>
          <w:sz w:val="28"/>
          <w:szCs w:val="28"/>
          <w:shd w:val="clear" w:color="auto" w:fill="FFFFFF"/>
          <w:lang w:val="ru-RU"/>
        </w:rPr>
        <w:t>ы</w:t>
      </w:r>
      <w:r w:rsidRPr="00230638">
        <w:rPr>
          <w:sz w:val="28"/>
          <w:szCs w:val="28"/>
          <w:shd w:val="clear" w:color="auto" w:fill="FFFFFF"/>
          <w:lang w:val="ru-RU"/>
        </w:rPr>
        <w:t xml:space="preserve"> бальнео-климатического приморского курорта средиземноморского типа</w:t>
      </w:r>
      <w:r>
        <w:rPr>
          <w:sz w:val="28"/>
          <w:szCs w:val="28"/>
          <w:shd w:val="clear" w:color="auto" w:fill="FFFFFF"/>
          <w:lang w:val="ru-RU"/>
        </w:rPr>
        <w:t xml:space="preserve">. </w:t>
      </w:r>
      <w:r w:rsidRPr="00230638">
        <w:rPr>
          <w:sz w:val="28"/>
          <w:szCs w:val="28"/>
          <w:shd w:val="clear" w:color="auto" w:fill="FFFFFF"/>
          <w:lang w:val="ru-RU"/>
        </w:rPr>
        <w:t>Предоставл</w:t>
      </w:r>
      <w:r>
        <w:rPr>
          <w:sz w:val="28"/>
          <w:szCs w:val="28"/>
          <w:shd w:val="clear" w:color="auto" w:fill="FFFFFF"/>
          <w:lang w:val="ru-RU"/>
        </w:rPr>
        <w:t>ение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услуг за</w:t>
      </w:r>
      <w:r w:rsidR="00687307">
        <w:rPr>
          <w:sz w:val="28"/>
          <w:szCs w:val="28"/>
          <w:shd w:val="clear" w:color="auto" w:fill="FFFFFF"/>
          <w:lang w:val="ru-RU"/>
        </w:rPr>
        <w:t>крытого бассейна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D072E6" w:rsidRDefault="00D072E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072E6" w:rsidRDefault="00D072E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D072E6" w:rsidP="006C28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10</w:t>
            </w:r>
            <w:r w:rsidR="001B47A0">
              <w:rPr>
                <w:lang w:val="ru-RU"/>
              </w:rPr>
              <w:t xml:space="preserve"> (180)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D072E6" w:rsidP="006C28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1B47A0">
              <w:rPr>
                <w:lang w:val="ru-RU"/>
              </w:rPr>
              <w:t xml:space="preserve"> (720)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D072E6" w:rsidP="006C28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1B47A0">
              <w:rPr>
                <w:lang w:val="ru-RU"/>
              </w:rPr>
              <w:t xml:space="preserve"> (180)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D072E6" w:rsidP="006C28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1B47A0">
              <w:rPr>
                <w:lang w:val="ru-RU"/>
              </w:rPr>
              <w:t xml:space="preserve"> (180)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D072E6" w:rsidP="006C28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B47A0">
              <w:rPr>
                <w:lang w:val="ru-RU"/>
              </w:rPr>
              <w:t xml:space="preserve"> (72)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D072E6" w:rsidP="008646E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B47A0">
              <w:rPr>
                <w:lang w:val="ru-RU"/>
              </w:rPr>
              <w:t xml:space="preserve"> (288)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D072E6" w:rsidP="008646E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1B47A0">
              <w:rPr>
                <w:lang w:val="ru-RU"/>
              </w:rPr>
              <w:t xml:space="preserve"> (180)</w:t>
            </w:r>
          </w:p>
        </w:tc>
      </w:tr>
      <w:tr w:rsidR="00724D20" w:rsidRPr="00FF5E92" w:rsidTr="00FC2BB8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C6FF9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8646ED" w:rsidP="008646E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24D20">
              <w:rPr>
                <w:lang w:val="ru-RU"/>
              </w:rPr>
              <w:t>00 (</w:t>
            </w:r>
            <w:r>
              <w:rPr>
                <w:lang w:val="ru-RU"/>
              </w:rPr>
              <w:t>1 8</w:t>
            </w:r>
            <w:r w:rsidR="00724D20">
              <w:rPr>
                <w:lang w:val="ru-RU"/>
              </w:rPr>
              <w:t>00)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Sect="00650850"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F557C"/>
    <w:rsid w:val="00111DDA"/>
    <w:rsid w:val="00120C3C"/>
    <w:rsid w:val="00132D23"/>
    <w:rsid w:val="00195CD5"/>
    <w:rsid w:val="001B47A0"/>
    <w:rsid w:val="001C16CA"/>
    <w:rsid w:val="001D4B66"/>
    <w:rsid w:val="001F17E9"/>
    <w:rsid w:val="002203C6"/>
    <w:rsid w:val="00230638"/>
    <w:rsid w:val="0025415C"/>
    <w:rsid w:val="00255370"/>
    <w:rsid w:val="002A5BC6"/>
    <w:rsid w:val="002D3D3C"/>
    <w:rsid w:val="002D470F"/>
    <w:rsid w:val="00333341"/>
    <w:rsid w:val="00350DFA"/>
    <w:rsid w:val="003659D5"/>
    <w:rsid w:val="003B3F1B"/>
    <w:rsid w:val="003C4025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650C2"/>
    <w:rsid w:val="00592980"/>
    <w:rsid w:val="00597D4F"/>
    <w:rsid w:val="005E4651"/>
    <w:rsid w:val="006252DE"/>
    <w:rsid w:val="00650850"/>
    <w:rsid w:val="006728C1"/>
    <w:rsid w:val="00686841"/>
    <w:rsid w:val="00687307"/>
    <w:rsid w:val="00692AC1"/>
    <w:rsid w:val="006A540B"/>
    <w:rsid w:val="006C2851"/>
    <w:rsid w:val="006E3033"/>
    <w:rsid w:val="00702FB8"/>
    <w:rsid w:val="0070306D"/>
    <w:rsid w:val="0071786C"/>
    <w:rsid w:val="00724D20"/>
    <w:rsid w:val="00734365"/>
    <w:rsid w:val="00747959"/>
    <w:rsid w:val="007733EC"/>
    <w:rsid w:val="00774382"/>
    <w:rsid w:val="007A4FCD"/>
    <w:rsid w:val="007D71DD"/>
    <w:rsid w:val="007E36E3"/>
    <w:rsid w:val="008164E5"/>
    <w:rsid w:val="00833A59"/>
    <w:rsid w:val="00854637"/>
    <w:rsid w:val="008646ED"/>
    <w:rsid w:val="0087499D"/>
    <w:rsid w:val="008930AA"/>
    <w:rsid w:val="008D7C96"/>
    <w:rsid w:val="008E36F1"/>
    <w:rsid w:val="00907449"/>
    <w:rsid w:val="009B652F"/>
    <w:rsid w:val="009E1DF1"/>
    <w:rsid w:val="009F7166"/>
    <w:rsid w:val="00A128D0"/>
    <w:rsid w:val="00A64292"/>
    <w:rsid w:val="00A65DAF"/>
    <w:rsid w:val="00AC1A5D"/>
    <w:rsid w:val="00AE4A40"/>
    <w:rsid w:val="00AE60F2"/>
    <w:rsid w:val="00AF1FB4"/>
    <w:rsid w:val="00B3754F"/>
    <w:rsid w:val="00B6202D"/>
    <w:rsid w:val="00B76DA9"/>
    <w:rsid w:val="00B86146"/>
    <w:rsid w:val="00BA254E"/>
    <w:rsid w:val="00BA2BBF"/>
    <w:rsid w:val="00BC139D"/>
    <w:rsid w:val="00BD2BA7"/>
    <w:rsid w:val="00BE6E59"/>
    <w:rsid w:val="00C11E41"/>
    <w:rsid w:val="00C16627"/>
    <w:rsid w:val="00C73305"/>
    <w:rsid w:val="00C801B2"/>
    <w:rsid w:val="00CC456B"/>
    <w:rsid w:val="00CC5DA7"/>
    <w:rsid w:val="00CF7AEF"/>
    <w:rsid w:val="00D072E6"/>
    <w:rsid w:val="00D11ADF"/>
    <w:rsid w:val="00D36429"/>
    <w:rsid w:val="00D42173"/>
    <w:rsid w:val="00D520CF"/>
    <w:rsid w:val="00D5502A"/>
    <w:rsid w:val="00D64E35"/>
    <w:rsid w:val="00DB68C5"/>
    <w:rsid w:val="00DE3E34"/>
    <w:rsid w:val="00E15BA1"/>
    <w:rsid w:val="00E9506C"/>
    <w:rsid w:val="00E958FE"/>
    <w:rsid w:val="00EA7C2D"/>
    <w:rsid w:val="00EB5201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0720-4331-4488-A7FC-BFEEE19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5201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EB5201"/>
    <w:rPr>
      <w:rFonts w:ascii="Arial" w:hAnsi="Arial" w:cs="Arial"/>
      <w:b/>
      <w:bCs/>
      <w:color w:val="26282F"/>
      <w:kern w:val="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97A7-B76D-4A5D-B0E2-DA5D2121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32</cp:revision>
  <cp:lastPrinted>2021-12-06T13:16:00Z</cp:lastPrinted>
  <dcterms:created xsi:type="dcterms:W3CDTF">2020-12-16T09:13:00Z</dcterms:created>
  <dcterms:modified xsi:type="dcterms:W3CDTF">2022-10-28T13:15:00Z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