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66" w:rsidRPr="00795F0E" w:rsidRDefault="00123566" w:rsidP="00123566">
      <w:pPr>
        <w:pStyle w:val="a5"/>
        <w:rPr>
          <w:bCs/>
          <w:sz w:val="24"/>
          <w:szCs w:val="24"/>
          <w:lang w:eastAsia="en-US"/>
        </w:rPr>
      </w:pPr>
      <w:r w:rsidRPr="00795F0E">
        <w:rPr>
          <w:bCs/>
          <w:sz w:val="24"/>
          <w:szCs w:val="24"/>
          <w:lang w:eastAsia="en-US"/>
        </w:rPr>
        <w:t>Техническое задание</w:t>
      </w:r>
    </w:p>
    <w:p w:rsidR="00123566" w:rsidRDefault="00123566" w:rsidP="00123566">
      <w:pPr>
        <w:tabs>
          <w:tab w:val="left" w:pos="2590"/>
        </w:tabs>
        <w:spacing w:line="100" w:lineRule="atLeast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Выполнение работ по обеспечению инвалидов протезно-ортопедическими изделиями: протезами голени.</w:t>
      </w:r>
    </w:p>
    <w:p w:rsidR="00123566" w:rsidRDefault="00123566" w:rsidP="00123566">
      <w:pPr>
        <w:tabs>
          <w:tab w:val="left" w:pos="2590"/>
        </w:tabs>
        <w:spacing w:line="100" w:lineRule="atLeast"/>
        <w:jc w:val="center"/>
        <w:rPr>
          <w:b/>
          <w:bCs/>
          <w:color w:val="000000"/>
          <w:lang w:eastAsia="en-US" w:bidi="en-US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9"/>
      </w:tblGrid>
      <w:tr w:rsidR="00123566" w:rsidTr="001E13E5">
        <w:tc>
          <w:tcPr>
            <w:tcW w:w="9929" w:type="dxa"/>
            <w:shd w:val="clear" w:color="auto" w:fill="auto"/>
          </w:tcPr>
          <w:p w:rsidR="00123566" w:rsidRDefault="00123566" w:rsidP="001E13E5">
            <w:pPr>
              <w:jc w:val="center"/>
              <w:rPr>
                <w:b/>
              </w:rPr>
            </w:pPr>
            <w:r>
              <w:rPr>
                <w:b/>
              </w:rPr>
              <w:t>Требования к техническим характеристикам изделия</w:t>
            </w:r>
          </w:p>
          <w:p w:rsidR="00123566" w:rsidRDefault="00123566" w:rsidP="001E13E5">
            <w:pPr>
              <w:jc w:val="both"/>
            </w:pPr>
            <w:r>
              <w:t xml:space="preserve">   Выполнение работ по протезированию должно быть направлено на изготовление протезно-ортопедических изделий, к которым </w:t>
            </w:r>
            <w:proofErr w:type="gramStart"/>
            <w:r>
              <w:t>относятся  протезы</w:t>
            </w:r>
            <w:proofErr w:type="gramEnd"/>
            <w:r>
              <w:t xml:space="preserve"> голени, для обеспечения механической фиксации.</w:t>
            </w:r>
          </w:p>
          <w:p w:rsidR="00123566" w:rsidRDefault="00123566" w:rsidP="001E13E5">
            <w:pPr>
              <w:jc w:val="both"/>
            </w:pPr>
            <w:r>
              <w:t xml:space="preserve">      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</w:t>
            </w:r>
            <w:proofErr w:type="gramStart"/>
            <w:r>
              <w:t>дефектов  организма</w:t>
            </w:r>
            <w:proofErr w:type="gramEnd"/>
            <w:r>
              <w:t xml:space="preserve">  и  обеспечивать компенсацию неустранимых анатомических дефектов и деформаций.</w:t>
            </w:r>
          </w:p>
          <w:p w:rsidR="00123566" w:rsidRDefault="00123566" w:rsidP="001E13E5">
            <w:pPr>
              <w:jc w:val="both"/>
              <w:rPr>
                <w:rFonts w:cs="Tahoma"/>
                <w:b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jc w:val="center"/>
              <w:rPr>
                <w:rFonts w:cs="Tahoma"/>
                <w:b/>
                <w:color w:val="000000"/>
                <w:lang w:eastAsia="en-US" w:bidi="en-US"/>
              </w:rPr>
            </w:pPr>
            <w:r>
              <w:rPr>
                <w:rFonts w:cs="Tahoma"/>
                <w:b/>
                <w:color w:val="000000"/>
                <w:lang w:eastAsia="en-US" w:bidi="en-US"/>
              </w:rPr>
              <w:t>Требования к безопасности работ</w:t>
            </w:r>
          </w:p>
          <w:p w:rsidR="00123566" w:rsidRDefault="00123566" w:rsidP="001E13E5">
            <w:pPr>
              <w:jc w:val="both"/>
              <w:rPr>
                <w:rFonts w:cs="Tahoma"/>
                <w:color w:val="000000"/>
                <w:lang w:eastAsia="en-US" w:bidi="en-US"/>
              </w:rPr>
            </w:pPr>
            <w:r>
              <w:rPr>
                <w:rFonts w:cs="Tahoma"/>
                <w:color w:val="000000"/>
                <w:lang w:eastAsia="en-US" w:bidi="en-US"/>
              </w:rPr>
              <w:t xml:space="preserve">  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      </w:r>
          </w:p>
          <w:p w:rsidR="00123566" w:rsidRDefault="00123566" w:rsidP="001E13E5">
            <w:pPr>
              <w:pStyle w:val="4"/>
              <w:widowControl w:val="0"/>
              <w:shd w:val="clear" w:color="auto" w:fill="FFFFFF"/>
              <w:suppressAutoHyphens w:val="0"/>
              <w:spacing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Изготовление продукции должно быть в соответствии с: ГОСТ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en-US" w:bidi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10993-1-2011 «Изделия медицинские. Оценка биологического действия медицинских изделий». Часть 1 «Оценка и исследования», ГОСТ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en-US" w:bidi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10993-5-2011 «Изделия медицинские. Оценка биологического действия медицинских изделий». Часть 5 «Исследования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>цитотоксичность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: методы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»; ГОСТ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en-US" w:bidi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 (с поправкой); ГОСТ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 w:eastAsia="en-US" w:bidi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 ГОСТ Р 52770-2016 «Изделия медицинские. Требования безопасности. Методы санитарно-химических и токсикологических испытаний»; ГОСТ Р 51632-2021,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>»,  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Р ИСО 22523-2007 «Протезы конечностей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>ортезы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 w:bidi="en-US"/>
              </w:rPr>
              <w:t xml:space="preserve"> наружные. Требования и методы испытаний».</w:t>
            </w:r>
          </w:p>
          <w:p w:rsidR="00123566" w:rsidRDefault="00123566" w:rsidP="001E13E5">
            <w:pPr>
              <w:jc w:val="center"/>
              <w:rPr>
                <w:rFonts w:cs="Tahoma"/>
                <w:b/>
                <w:color w:val="000000"/>
                <w:lang w:eastAsia="en-US" w:bidi="en-US"/>
              </w:rPr>
            </w:pPr>
            <w:r>
              <w:rPr>
                <w:rFonts w:cs="Tahoma"/>
                <w:b/>
                <w:color w:val="000000"/>
                <w:lang w:eastAsia="en-US" w:bidi="en-US"/>
              </w:rPr>
              <w:t xml:space="preserve">                   </w:t>
            </w:r>
          </w:p>
          <w:p w:rsidR="00123566" w:rsidRDefault="00123566" w:rsidP="001E13E5">
            <w:pPr>
              <w:jc w:val="center"/>
              <w:rPr>
                <w:rFonts w:cs="Tahoma"/>
                <w:color w:val="000000"/>
                <w:lang w:eastAsia="en-US" w:bidi="en-US"/>
              </w:rPr>
            </w:pPr>
            <w:r>
              <w:rPr>
                <w:rFonts w:cs="Tahoma"/>
                <w:b/>
                <w:color w:val="000000"/>
                <w:lang w:eastAsia="en-US" w:bidi="en-US"/>
              </w:rPr>
              <w:t xml:space="preserve"> Требования к функциональным характеристикам изделия</w:t>
            </w:r>
            <w:r>
              <w:rPr>
                <w:rFonts w:cs="Tahoma"/>
                <w:color w:val="000000"/>
                <w:lang w:eastAsia="en-US" w:bidi="en-US"/>
              </w:rPr>
              <w:t xml:space="preserve">     </w:t>
            </w:r>
          </w:p>
          <w:p w:rsidR="00123566" w:rsidRDefault="00123566" w:rsidP="001E13E5">
            <w:pPr>
              <w:jc w:val="both"/>
              <w:rPr>
                <w:rFonts w:cs="Tahoma"/>
                <w:color w:val="000000"/>
                <w:lang w:eastAsia="en-US" w:bidi="en-US"/>
              </w:rPr>
            </w:pPr>
            <w:r>
              <w:rPr>
                <w:rFonts w:cs="Tahoma"/>
                <w:color w:val="000000"/>
                <w:lang w:eastAsia="en-US" w:bidi="en-US"/>
              </w:rPr>
              <w:t xml:space="preserve">       Протезы должны нести фиксирующую, функциональную, разгружающую, корригирующую функцию и использоваться для коррекции взаимоположения неустранимых анатомических дефектов и деформаций.</w:t>
            </w:r>
          </w:p>
          <w:p w:rsidR="00123566" w:rsidRDefault="00123566" w:rsidP="001E13E5">
            <w:pPr>
              <w:jc w:val="both"/>
              <w:rPr>
                <w:rFonts w:cs="Tahoma"/>
                <w:b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pStyle w:val="a3"/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rFonts w:cs="Tahoma"/>
                <w:b/>
                <w:color w:val="000000"/>
                <w:lang w:eastAsia="en-US" w:bidi="en-US"/>
              </w:rPr>
              <w:t xml:space="preserve">Требования </w:t>
            </w:r>
            <w:r>
              <w:rPr>
                <w:b/>
                <w:color w:val="000000"/>
                <w:lang w:eastAsia="en-US" w:bidi="en-US"/>
              </w:rPr>
      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      </w:r>
          </w:p>
          <w:p w:rsidR="00123566" w:rsidRDefault="00123566" w:rsidP="001E13E5">
            <w:pPr>
              <w:jc w:val="both"/>
              <w:rPr>
                <w:rFonts w:cs="Tahoma"/>
                <w:color w:val="000000"/>
                <w:lang w:eastAsia="en-US" w:bidi="en-US"/>
              </w:rPr>
            </w:pPr>
            <w:r>
              <w:rPr>
                <w:rFonts w:cs="Tahoma"/>
                <w:color w:val="000000"/>
                <w:lang w:eastAsia="en-US" w:bidi="en-US"/>
              </w:rPr>
              <w:t xml:space="preserve">     Исполнитель должен гарантировать,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      </w:r>
          </w:p>
          <w:p w:rsidR="00123566" w:rsidRDefault="00123566" w:rsidP="001E13E5">
            <w:pPr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spacing w:line="100" w:lineRule="atLeast"/>
              <w:jc w:val="both"/>
              <w:rPr>
                <w:b/>
                <w:bCs/>
                <w:color w:val="000000"/>
                <w:lang w:eastAsia="en-US" w:bidi="en-US"/>
              </w:rPr>
            </w:pPr>
            <w:r>
              <w:rPr>
                <w:b/>
                <w:bCs/>
                <w:color w:val="000000"/>
                <w:lang w:eastAsia="en-US" w:bidi="en-US"/>
              </w:rPr>
              <w:t>Данная гарантия действительна в течение не менее 12 (двенадцати) месяцев после подписания Акта приема-передачи изделия.</w:t>
            </w:r>
          </w:p>
          <w:p w:rsidR="00123566" w:rsidRDefault="00123566" w:rsidP="001E13E5">
            <w:pPr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spacing w:line="100" w:lineRule="atLeast"/>
              <w:jc w:val="both"/>
              <w:rPr>
                <w:b/>
                <w:bCs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spacing w:line="100" w:lineRule="atLeast"/>
              <w:jc w:val="both"/>
              <w:rPr>
                <w:b/>
                <w:bCs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spacing w:line="100" w:lineRule="atLeast"/>
              <w:jc w:val="both"/>
              <w:rPr>
                <w:b/>
                <w:bCs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spacing w:line="100" w:lineRule="atLeast"/>
              <w:jc w:val="both"/>
              <w:rPr>
                <w:b/>
                <w:bCs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spacing w:line="100" w:lineRule="atLeast"/>
              <w:jc w:val="both"/>
              <w:rPr>
                <w:b/>
                <w:bCs/>
                <w:color w:val="000000"/>
                <w:lang w:eastAsia="en-US" w:bidi="en-US"/>
              </w:rPr>
            </w:pPr>
          </w:p>
          <w:p w:rsidR="00123566" w:rsidRDefault="00123566" w:rsidP="001E13E5">
            <w:pPr>
              <w:keepLines/>
              <w:shd w:val="clear" w:color="auto" w:fill="FFFFFF"/>
              <w:spacing w:line="100" w:lineRule="atLeast"/>
              <w:jc w:val="center"/>
              <w:rPr>
                <w:b/>
                <w:bCs/>
                <w:color w:val="000000"/>
                <w:lang w:eastAsia="en-US" w:bidi="en-US"/>
              </w:rPr>
            </w:pPr>
            <w:r>
              <w:rPr>
                <w:b/>
                <w:bCs/>
                <w:color w:val="000000"/>
                <w:lang w:eastAsia="en-US" w:bidi="en-US"/>
              </w:rPr>
              <w:t>Требования к количественным и качественным характеристикам</w:t>
            </w:r>
          </w:p>
          <w:p w:rsidR="00123566" w:rsidRDefault="00123566" w:rsidP="001E13E5">
            <w:pPr>
              <w:shd w:val="clear" w:color="auto" w:fill="FFFFFF"/>
              <w:spacing w:line="100" w:lineRule="atLeast"/>
              <w:jc w:val="center"/>
              <w:rPr>
                <w:b/>
                <w:bCs/>
                <w:color w:val="000000"/>
                <w:lang w:eastAsia="en-US" w:bidi="en-US"/>
              </w:rPr>
            </w:pPr>
          </w:p>
          <w:tbl>
            <w:tblPr>
              <w:tblW w:w="98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1609"/>
              <w:gridCol w:w="2523"/>
              <w:gridCol w:w="613"/>
              <w:gridCol w:w="628"/>
              <w:gridCol w:w="3957"/>
            </w:tblGrid>
            <w:tr w:rsidR="00123566" w:rsidTr="001E13E5">
              <w:tc>
                <w:tcPr>
                  <w:tcW w:w="5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pStyle w:val="a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16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pStyle w:val="a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КОЗ</w:t>
                  </w:r>
                </w:p>
              </w:tc>
              <w:tc>
                <w:tcPr>
                  <w:tcW w:w="25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Наименование изделия по КТРУ (при наличии)</w:t>
                  </w:r>
                </w:p>
              </w:tc>
              <w:tc>
                <w:tcPr>
                  <w:tcW w:w="6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Единица измерения</w:t>
                  </w:r>
                </w:p>
              </w:tc>
              <w:tc>
                <w:tcPr>
                  <w:tcW w:w="6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Кол-во</w:t>
                  </w:r>
                </w:p>
              </w:tc>
              <w:tc>
                <w:tcPr>
                  <w:tcW w:w="39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Style w:val="1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Style w:val="1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Характеристики изделия</w:t>
                  </w:r>
                </w:p>
              </w:tc>
            </w:tr>
            <w:tr w:rsidR="00123566" w:rsidTr="001E13E5">
              <w:tc>
                <w:tcPr>
                  <w:tcW w:w="5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tabs>
                      <w:tab w:val="left" w:pos="2590"/>
                    </w:tabs>
                    <w:ind w:left="41"/>
                    <w:jc w:val="both"/>
                    <w:rPr>
                      <w:rStyle w:val="1"/>
                      <w:sz w:val="21"/>
                      <w:szCs w:val="21"/>
                    </w:rPr>
                  </w:pPr>
                  <w:r>
                    <w:rPr>
                      <w:rStyle w:val="1"/>
                      <w:sz w:val="21"/>
                      <w:szCs w:val="21"/>
                    </w:rPr>
                    <w:t>03.28.08.07.09</w:t>
                  </w:r>
                </w:p>
              </w:tc>
              <w:tc>
                <w:tcPr>
                  <w:tcW w:w="25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5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Протез голени модульный (функционально-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косметический)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Формообразующая часть косметической облицовки должна быть модульная мягкая,  листовой поролон. Косметическое покрытие облицовки должны быть чулки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ортопедические 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силоновые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, может допускаться покрытие защитное плёночное.  Приёмная гильза должна быть индивидуальной (две пробные гильзы).   Материал индивидуальной постоянной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гильзы:   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должен быть литьевой слоистый пластик на основе  акриловых смол.  Может допускаться применение вкладной гильзы из вспененных материалов. Крепление должно быть с помощью чехла полимерного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гелевого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стопа должна быть с голеностопным шарниром подвижным в сагиттальной плоскости со сменным пяточным амортизатором, поворотное устройство должно отсутствовать. Тип протеза должен быть постоянный. </w:t>
                  </w:r>
                </w:p>
              </w:tc>
            </w:tr>
            <w:tr w:rsidR="00123566" w:rsidTr="001E13E5">
              <w:tc>
                <w:tcPr>
                  <w:tcW w:w="5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6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tabs>
                      <w:tab w:val="left" w:pos="2590"/>
                    </w:tabs>
                    <w:ind w:left="41"/>
                    <w:jc w:val="both"/>
                    <w:rPr>
                      <w:rStyle w:val="1"/>
                      <w:sz w:val="21"/>
                      <w:szCs w:val="21"/>
                    </w:rPr>
                  </w:pPr>
                  <w:r>
                    <w:rPr>
                      <w:rStyle w:val="1"/>
                      <w:sz w:val="21"/>
                      <w:szCs w:val="21"/>
                    </w:rPr>
                    <w:t>03.28.08.07.09</w:t>
                  </w:r>
                </w:p>
              </w:tc>
              <w:tc>
                <w:tcPr>
                  <w:tcW w:w="25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5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keepLines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Протез голени модульный (функционально-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косметический)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Формообразующая часть косметической облицовки должна быть модульная мягкая, листовой поролон. Косметическое покрытие облицовки должно быть чулки ортопедические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силоновые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Приемная гильза должна быть индивидуальная изготовленная по слепку с культи инвалида. Материал индивидуальной постоянной гильзы должен быть из литьевого пластика на основе акриловых смол. Вкладная гильза должна быть из вспененных материалов. Крепление протеза голени на инвалиде должно быть с использованием индивидуальной кожаной гильзы бедра, металлических коленных шин с шарнирами и пояса с кожаными полуфабрикатами. Регулировочно 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соеденительные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устройства должны соответствовать весу инвалида. Стопа должна быть шарнирная полиуретановая, монолитная. Протез должен назначаться инвалидам всех половозрастных групп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Pr="007D20C5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II</w:t>
                  </w:r>
                  <w:r w:rsidRPr="007D20C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степени активности с очень короткой культей. Тип протеза по назначению должен быть постоянный. </w:t>
                  </w:r>
                </w:p>
              </w:tc>
            </w:tr>
            <w:tr w:rsidR="00123566" w:rsidTr="001E13E5">
              <w:tc>
                <w:tcPr>
                  <w:tcW w:w="5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tabs>
                      <w:tab w:val="left" w:pos="2590"/>
                    </w:tabs>
                    <w:ind w:left="41"/>
                    <w:jc w:val="both"/>
                    <w:rPr>
                      <w:rStyle w:val="1"/>
                      <w:sz w:val="21"/>
                      <w:szCs w:val="21"/>
                    </w:rPr>
                  </w:pPr>
                  <w:r>
                    <w:rPr>
                      <w:rStyle w:val="1"/>
                      <w:sz w:val="21"/>
                      <w:szCs w:val="21"/>
                    </w:rPr>
                    <w:t>03.28.08.07.09</w:t>
                  </w:r>
                </w:p>
              </w:tc>
              <w:tc>
                <w:tcPr>
                  <w:tcW w:w="25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Pr="00240E11" w:rsidRDefault="00123566" w:rsidP="001E13E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395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Протез голени модульный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высокофункциональный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:rsidR="00123566" w:rsidRDefault="00123566" w:rsidP="001E13E5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Протез голени модульный должен быть с силиконовым чехлом с замковым устройством. Формообразующая часть косметической </w:t>
                  </w:r>
                </w:p>
                <w:p w:rsidR="00123566" w:rsidRDefault="00123566" w:rsidP="001E13E5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облицовки должна быть модульная мягкая полиуретановая. </w:t>
                  </w:r>
                </w:p>
                <w:p w:rsidR="00123566" w:rsidRDefault="00123566" w:rsidP="001E13E5">
                  <w:pPr>
                    <w:keepLines/>
                    <w:autoSpaceDE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Косметическое покрытие облицовки должны быть чулки ортопедические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перлоновые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Приёмная гильза должна быть индивидуальная (одна пробная гильза). Материал индивидуальной постоянной гильзы должен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быть  литьевой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слоистый пластик на основе акриловых смол. Вкладная гильза должна быть из полимерных вспененных материалов. Крепление протеза должно быть с использованием кожаных полуфабрикатов. Регулировочно-соединительные устройства должны соответствовать весу инвалида. Стопа должна быть карбоновая с пирамидальными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адаптарами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и карбоновыми пружинами передних отделов стоп, должна обеспечивать физиологичный перекат и подталкивающий эффект при переходе на носок стопы. Стопа должна подходить для различной скорости ходьбы, без ухудшения комфортности, снижая нагрузку на здоровую конечность. Тип протеза должен быть постоянный.</w:t>
                  </w:r>
                </w:p>
              </w:tc>
            </w:tr>
            <w:tr w:rsidR="00123566" w:rsidTr="001E13E5">
              <w:tc>
                <w:tcPr>
                  <w:tcW w:w="5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6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tabs>
                      <w:tab w:val="left" w:pos="2590"/>
                    </w:tabs>
                    <w:ind w:left="41"/>
                    <w:jc w:val="both"/>
                    <w:rPr>
                      <w:rStyle w:val="1"/>
                      <w:sz w:val="21"/>
                      <w:szCs w:val="21"/>
                    </w:rPr>
                  </w:pPr>
                  <w:r>
                    <w:rPr>
                      <w:rStyle w:val="1"/>
                      <w:sz w:val="21"/>
                      <w:szCs w:val="21"/>
                    </w:rPr>
                    <w:t>03.28.08.07.09</w:t>
                  </w:r>
                </w:p>
              </w:tc>
              <w:tc>
                <w:tcPr>
                  <w:tcW w:w="25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Протез голени модульный,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при недоразвитии</w:t>
                  </w:r>
                </w:p>
              </w:tc>
              <w:tc>
                <w:tcPr>
                  <w:tcW w:w="6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5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Протез голени модульный должен быть для инвалидов среднего уровня двигательной активности. Протез должен изготавливаться по индивидуальному техническому процессу. Пробная приемная гильза должна быть из термопласта; постоянная приемная гильза должна быть из литьевого слоистого пластика на основе акриловых смол. Стопа должна быть модели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VARI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FLEX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XC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EVO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дополнительной 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j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образной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углепластиковой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пружиной, включающейся при повышенных нагрузках, расширенный носок, адаптер – пирамидка стандартная пятка. Регулировочно-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соеденительные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устройства должны соответствовать весу инвалида. Гидравлическая система должна быть с бесступенчатой регулировкой высоты каблука. Косметическая облицовка модульная должна быть из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пенополиуретана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Крепление протеза на конечности должно быть за счет наколенника. Тип протеза по назначению должен быть постоянный. </w:t>
                  </w:r>
                </w:p>
              </w:tc>
            </w:tr>
            <w:tr w:rsidR="00123566" w:rsidTr="001E13E5">
              <w:tc>
                <w:tcPr>
                  <w:tcW w:w="53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tabs>
                      <w:tab w:val="left" w:pos="2590"/>
                    </w:tabs>
                    <w:ind w:left="41"/>
                    <w:jc w:val="both"/>
                    <w:rPr>
                      <w:rStyle w:val="1"/>
                      <w:sz w:val="21"/>
                      <w:szCs w:val="21"/>
                    </w:rPr>
                  </w:pPr>
                  <w:r>
                    <w:rPr>
                      <w:rStyle w:val="1"/>
                      <w:sz w:val="21"/>
                      <w:szCs w:val="21"/>
                    </w:rPr>
                    <w:t>03.28.08.07.04</w:t>
                  </w:r>
                </w:p>
              </w:tc>
              <w:tc>
                <w:tcPr>
                  <w:tcW w:w="25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Протез голени для купания</w:t>
                  </w:r>
                </w:p>
              </w:tc>
              <w:tc>
                <w:tcPr>
                  <w:tcW w:w="6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5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23566" w:rsidRDefault="00123566" w:rsidP="001E13E5">
                  <w:pPr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Протез голени модульный для купания.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</w:t>
                  </w:r>
                </w:p>
                <w:p w:rsidR="00123566" w:rsidRDefault="00123566" w:rsidP="001E13E5">
                  <w:pPr>
                    <w:keepLines/>
                    <w:autoSpaceDE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lastRenderedPageBreak/>
                    <w:t>Формообразующая  часть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косметической  облицовки  должна отсутствовать; чулки  </w:t>
                  </w:r>
                  <w:proofErr w:type="spellStart"/>
                  <w:r>
                    <w:rPr>
                      <w:sz w:val="22"/>
                      <w:szCs w:val="22"/>
                    </w:rPr>
                    <w:t>перлоновые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должны отсутствовать; покрытие  косметическое  должно быть пленочное  с  водоотталкивающими свойствами. Приёмная гильза должна быть индивидуальная.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      </w:r>
                  <w:proofErr w:type="spellStart"/>
                  <w:r>
                    <w:rPr>
                      <w:sz w:val="22"/>
                      <w:szCs w:val="22"/>
                    </w:rPr>
                    <w:t>гелевые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sz w:val="22"/>
                      <w:szCs w:val="22"/>
                    </w:rPr>
                    <w:t>крепление  должно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быть с  использованием  замка  из  полимерных  материалов. Регулировочно-соединительные </w:t>
                  </w:r>
                  <w:proofErr w:type="gramStart"/>
                  <w:r>
                    <w:rPr>
                      <w:sz w:val="22"/>
                      <w:szCs w:val="22"/>
                    </w:rPr>
                    <w:t>устройства  должны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соответствовать весу  инвалида,  и  выполнены  из  пластических  материалов. </w:t>
                  </w:r>
                  <w:proofErr w:type="gramStart"/>
                  <w:r>
                    <w:rPr>
                      <w:sz w:val="22"/>
                      <w:szCs w:val="22"/>
                    </w:rPr>
                    <w:t>Стопа  ППУ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для  купальных протезов. Назначение должно быть в качестве вспомогательного протеза.</w:t>
                  </w:r>
                </w:p>
              </w:tc>
            </w:tr>
          </w:tbl>
          <w:p w:rsidR="00123566" w:rsidRDefault="00123566" w:rsidP="001E13E5">
            <w:pPr>
              <w:shd w:val="clear" w:color="auto" w:fill="FFFFFF"/>
              <w:spacing w:line="100" w:lineRule="atLeast"/>
              <w:jc w:val="center"/>
              <w:rPr>
                <w:b/>
                <w:bCs/>
                <w:color w:val="000000"/>
                <w:lang w:eastAsia="en-US" w:bidi="en-US"/>
              </w:rPr>
            </w:pPr>
          </w:p>
        </w:tc>
      </w:tr>
      <w:tr w:rsidR="00123566" w:rsidRPr="007D20C5" w:rsidTr="001E13E5">
        <w:tc>
          <w:tcPr>
            <w:tcW w:w="9929" w:type="dxa"/>
            <w:shd w:val="clear" w:color="auto" w:fill="auto"/>
          </w:tcPr>
          <w:p w:rsidR="00123566" w:rsidRDefault="00123566" w:rsidP="001E13E5">
            <w:pPr>
              <w:jc w:val="center"/>
              <w:rPr>
                <w:b/>
              </w:rPr>
            </w:pPr>
          </w:p>
        </w:tc>
      </w:tr>
    </w:tbl>
    <w:p w:rsidR="00123566" w:rsidRPr="00082769" w:rsidRDefault="00123566" w:rsidP="00123566">
      <w:pPr>
        <w:spacing w:line="100" w:lineRule="atLeast"/>
        <w:jc w:val="both"/>
        <w:rPr>
          <w:bCs/>
          <w:color w:val="000000"/>
          <w:lang w:eastAsia="en-US" w:bidi="en-US"/>
        </w:rPr>
      </w:pPr>
      <w:r w:rsidRPr="00082769">
        <w:rPr>
          <w:b/>
        </w:rPr>
        <w:t>1. Место выполнения работ:</w:t>
      </w:r>
      <w:r w:rsidRPr="00082769">
        <w:rPr>
          <w:rFonts w:cs="Tahoma"/>
          <w:b/>
          <w:color w:val="000000"/>
          <w:lang w:eastAsia="en-US" w:bidi="en-US"/>
        </w:rPr>
        <w:t xml:space="preserve"> </w:t>
      </w:r>
      <w:r w:rsidRPr="00082769">
        <w:rPr>
          <w:bCs/>
          <w:color w:val="000000"/>
          <w:lang w:eastAsia="en-US" w:bidi="en-US"/>
        </w:rPr>
        <w:t>Работы по снятию слепков, плановая примерка изделия, выдача готового изделия гражданину должны производиться (ежедневно в рабочие дни) в пункте приема граждан открытого на территории Республики Хакасия (в пределах 25 км от г. Абакана). Пункт приема должен быть оборудован мебелью для ожидания в сидячем положении, а также должны быть созданы условия для возможности примерки изделия.</w:t>
      </w:r>
    </w:p>
    <w:p w:rsidR="00123566" w:rsidRPr="00082769" w:rsidRDefault="00123566" w:rsidP="00123566">
      <w:pPr>
        <w:pStyle w:val="4"/>
        <w:ind w:left="0"/>
        <w:jc w:val="both"/>
        <w:rPr>
          <w:rFonts w:ascii="Times New Roman" w:hAnsi="Times New Roman" w:cs="Times New Roman"/>
          <w:bCs/>
          <w:color w:val="000000"/>
          <w:sz w:val="24"/>
          <w:lang w:eastAsia="en-US" w:bidi="en-US"/>
        </w:rPr>
      </w:pPr>
      <w:r w:rsidRPr="00082769">
        <w:rPr>
          <w:rFonts w:ascii="Times New Roman" w:hAnsi="Times New Roman" w:cs="Times New Roman"/>
          <w:b/>
          <w:sz w:val="24"/>
        </w:rPr>
        <w:t>2. Сроки выполнения работ:</w:t>
      </w:r>
      <w:r w:rsidRPr="00082769">
        <w:rPr>
          <w:rFonts w:ascii="Times New Roman" w:hAnsi="Times New Roman"/>
          <w:color w:val="000000"/>
          <w:sz w:val="24"/>
          <w:lang w:eastAsia="en-US" w:bidi="en-US"/>
        </w:rPr>
        <w:t xml:space="preserve"> </w:t>
      </w:r>
      <w:r w:rsidRPr="00082769">
        <w:rPr>
          <w:rFonts w:ascii="Times New Roman" w:hAnsi="Times New Roman" w:cs="Times New Roman"/>
          <w:bCs/>
          <w:color w:val="000000"/>
          <w:sz w:val="24"/>
          <w:lang w:eastAsia="en-US" w:bidi="en-US"/>
        </w:rPr>
        <w:t>Срок выполнения работ - в течение 60 (шестидесяти) календарных дней с даты получения от Заказчика Реестра получателей. Направления принимаются Исполнителем не позднее 06.09.2022. В случае приема Направлений после указанного срока, Исполнитель принимает на себя обязательства по выполнению работ в срок до 15.09.2022</w:t>
      </w:r>
    </w:p>
    <w:p w:rsidR="00422576" w:rsidRDefault="00422576">
      <w:bookmarkStart w:id="0" w:name="_GoBack"/>
      <w:bookmarkEnd w:id="0"/>
    </w:p>
    <w:sectPr w:rsidR="00422576" w:rsidSect="00123566">
      <w:pgSz w:w="11906" w:h="16838"/>
      <w:pgMar w:top="851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9"/>
    <w:rsid w:val="00123566"/>
    <w:rsid w:val="00422576"/>
    <w:rsid w:val="00950549"/>
    <w:rsid w:val="00C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7DF9-8895-4358-A503-FEC8994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1235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12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35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1235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123566"/>
  </w:style>
  <w:style w:type="paragraph" w:customStyle="1" w:styleId="a7">
    <w:name w:val="Содержимое таблицы"/>
    <w:basedOn w:val="a"/>
    <w:rsid w:val="00123566"/>
    <w:pPr>
      <w:suppressLineNumbers/>
      <w:suppressAutoHyphens/>
    </w:pPr>
    <w:rPr>
      <w:lang w:eastAsia="ar-SA"/>
    </w:rPr>
  </w:style>
  <w:style w:type="paragraph" w:customStyle="1" w:styleId="4">
    <w:name w:val="Абзац списка4"/>
    <w:basedOn w:val="a"/>
    <w:rsid w:val="0012356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Анастасия Геннадьевна</dc:creator>
  <cp:keywords/>
  <dc:description/>
  <cp:lastModifiedBy>Климова Анастасия Геннадьевна</cp:lastModifiedBy>
  <cp:revision>2</cp:revision>
  <dcterms:created xsi:type="dcterms:W3CDTF">2021-11-15T12:51:00Z</dcterms:created>
  <dcterms:modified xsi:type="dcterms:W3CDTF">2021-11-15T12:51:00Z</dcterms:modified>
</cp:coreProperties>
</file>