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02" w:rsidRPr="00ED5DDB" w:rsidRDefault="00863502" w:rsidP="00D40001">
      <w:pPr>
        <w:tabs>
          <w:tab w:val="left" w:pos="2640"/>
        </w:tabs>
        <w:jc w:val="center"/>
        <w:rPr>
          <w:b/>
          <w:color w:val="000000"/>
          <w:sz w:val="26"/>
          <w:szCs w:val="26"/>
        </w:rPr>
      </w:pPr>
      <w:r w:rsidRPr="00ED5DDB">
        <w:rPr>
          <w:b/>
          <w:color w:val="000000"/>
          <w:sz w:val="26"/>
          <w:szCs w:val="26"/>
        </w:rPr>
        <w:t>Техническое задание</w:t>
      </w:r>
    </w:p>
    <w:p w:rsidR="00863502" w:rsidRDefault="00863502" w:rsidP="00863502">
      <w:pPr>
        <w:widowControl w:val="0"/>
        <w:autoSpaceDE w:val="0"/>
        <w:autoSpaceDN w:val="0"/>
        <w:adjustRightInd w:val="0"/>
        <w:ind w:firstLine="567"/>
        <w:jc w:val="both"/>
        <w:rPr>
          <w:sz w:val="26"/>
          <w:szCs w:val="26"/>
        </w:rPr>
      </w:pPr>
      <w:r w:rsidRPr="00ED5DDB">
        <w:rPr>
          <w:sz w:val="26"/>
          <w:szCs w:val="26"/>
          <w:lang w:eastAsia="ar-SA"/>
        </w:rPr>
        <w:t xml:space="preserve">   В техническом задании используются требования к объекту закупки на основании пп.1 ч.1 ст.33 44-ФЗ, связанные с потребностью Заказчика по обеспечению инвалида техническим  средством реабилитации и использование показателей и требований обусловлено необходимостью приобретения технического средства реабилитации</w:t>
      </w:r>
      <w:r w:rsidRPr="00ED5DDB">
        <w:rPr>
          <w:rFonts w:ascii="Calibri" w:hAnsi="Calibri" w:cs="Calibri"/>
          <w:sz w:val="26"/>
          <w:szCs w:val="26"/>
        </w:rPr>
        <w:t xml:space="preserve"> </w:t>
      </w:r>
      <w:r w:rsidRPr="00ED5DDB">
        <w:rPr>
          <w:sz w:val="26"/>
          <w:szCs w:val="26"/>
        </w:rPr>
        <w:t>в качестве устройства, содержащего технические решения, используемые для компенсации или устранения стойких ограничений жизнедеятельности инвалида.</w:t>
      </w:r>
    </w:p>
    <w:p w:rsidR="00EB663A" w:rsidRPr="00ED5DDB" w:rsidRDefault="00EB663A" w:rsidP="00863502">
      <w:pPr>
        <w:widowControl w:val="0"/>
        <w:autoSpaceDE w:val="0"/>
        <w:autoSpaceDN w:val="0"/>
        <w:adjustRightInd w:val="0"/>
        <w:ind w:firstLine="567"/>
        <w:jc w:val="both"/>
        <w:rPr>
          <w:sz w:val="26"/>
          <w:szCs w:val="26"/>
          <w:lang w:eastAsia="ar-SA"/>
        </w:rPr>
      </w:pPr>
    </w:p>
    <w:tbl>
      <w:tblPr>
        <w:tblW w:w="9606" w:type="dxa"/>
        <w:tblLayout w:type="fixed"/>
        <w:tblLook w:val="04A0" w:firstRow="1" w:lastRow="0" w:firstColumn="1" w:lastColumn="0" w:noHBand="0" w:noVBand="1"/>
      </w:tblPr>
      <w:tblGrid>
        <w:gridCol w:w="1809"/>
        <w:gridCol w:w="5387"/>
        <w:gridCol w:w="1276"/>
        <w:gridCol w:w="1134"/>
      </w:tblGrid>
      <w:tr w:rsidR="00837056" w:rsidRPr="007D4743" w:rsidTr="00972687">
        <w:trPr>
          <w:cantSplit/>
          <w:trHeight w:val="1448"/>
        </w:trPr>
        <w:tc>
          <w:tcPr>
            <w:tcW w:w="1809" w:type="dxa"/>
            <w:tcBorders>
              <w:top w:val="single" w:sz="4" w:space="0" w:color="auto"/>
              <w:left w:val="single" w:sz="4" w:space="0" w:color="auto"/>
              <w:bottom w:val="single" w:sz="4" w:space="0" w:color="auto"/>
              <w:right w:val="single" w:sz="4" w:space="0" w:color="auto"/>
            </w:tcBorders>
            <w:vAlign w:val="center"/>
            <w:hideMark/>
          </w:tcPr>
          <w:p w:rsidR="00837056" w:rsidRPr="00FC2626" w:rsidRDefault="00837056" w:rsidP="009960E3">
            <w:pPr>
              <w:jc w:val="center"/>
              <w:rPr>
                <w:bCs/>
                <w:color w:val="000000"/>
                <w:sz w:val="22"/>
                <w:szCs w:val="22"/>
                <w:lang w:eastAsia="en-US"/>
              </w:rPr>
            </w:pPr>
            <w:r w:rsidRPr="00FC2626">
              <w:rPr>
                <w:bCs/>
                <w:color w:val="000000"/>
                <w:sz w:val="22"/>
                <w:szCs w:val="22"/>
                <w:lang w:val="en-US" w:eastAsia="en-US"/>
              </w:rPr>
              <w:t xml:space="preserve">Наименование </w:t>
            </w:r>
            <w:r w:rsidRPr="00FC2626">
              <w:rPr>
                <w:bCs/>
                <w:color w:val="000000"/>
                <w:sz w:val="22"/>
                <w:szCs w:val="22"/>
                <w:lang w:eastAsia="en-US"/>
              </w:rPr>
              <w:t>Изделия</w:t>
            </w:r>
          </w:p>
        </w:tc>
        <w:tc>
          <w:tcPr>
            <w:tcW w:w="5387" w:type="dxa"/>
            <w:tcBorders>
              <w:top w:val="single" w:sz="8" w:space="0" w:color="000000"/>
              <w:left w:val="single" w:sz="4" w:space="0" w:color="auto"/>
              <w:bottom w:val="single" w:sz="4" w:space="0" w:color="auto"/>
              <w:right w:val="single" w:sz="8" w:space="0" w:color="000000"/>
            </w:tcBorders>
            <w:vAlign w:val="center"/>
            <w:hideMark/>
          </w:tcPr>
          <w:p w:rsidR="00837056" w:rsidRPr="00FC2626" w:rsidRDefault="00837056" w:rsidP="009960E3">
            <w:pPr>
              <w:jc w:val="center"/>
              <w:rPr>
                <w:bCs/>
                <w:color w:val="000000"/>
                <w:sz w:val="22"/>
                <w:szCs w:val="22"/>
                <w:lang w:eastAsia="en-US"/>
              </w:rPr>
            </w:pPr>
            <w:r w:rsidRPr="00FC2626">
              <w:rPr>
                <w:bCs/>
                <w:color w:val="000000"/>
                <w:sz w:val="22"/>
                <w:szCs w:val="22"/>
                <w:lang w:eastAsia="en-US"/>
              </w:rPr>
              <w:t>Функциональные, технические и качественные характеристики</w:t>
            </w:r>
          </w:p>
        </w:tc>
        <w:tc>
          <w:tcPr>
            <w:tcW w:w="1276" w:type="dxa"/>
            <w:tcBorders>
              <w:top w:val="single" w:sz="8" w:space="0" w:color="000000"/>
              <w:left w:val="nil"/>
              <w:bottom w:val="single" w:sz="4" w:space="0" w:color="auto"/>
              <w:right w:val="single" w:sz="8" w:space="0" w:color="000000"/>
            </w:tcBorders>
            <w:vAlign w:val="center"/>
            <w:hideMark/>
          </w:tcPr>
          <w:p w:rsidR="00837056" w:rsidRPr="00FC2626" w:rsidRDefault="00837056" w:rsidP="009960E3">
            <w:pPr>
              <w:jc w:val="center"/>
              <w:rPr>
                <w:bCs/>
                <w:color w:val="000000"/>
                <w:sz w:val="22"/>
                <w:szCs w:val="22"/>
                <w:lang w:eastAsia="en-US"/>
              </w:rPr>
            </w:pPr>
            <w:r w:rsidRPr="00FC2626">
              <w:rPr>
                <w:bCs/>
                <w:color w:val="000000"/>
                <w:sz w:val="22"/>
                <w:szCs w:val="22"/>
                <w:lang w:eastAsia="en-US"/>
              </w:rPr>
              <w:t xml:space="preserve">цена за </w:t>
            </w:r>
            <w:proofErr w:type="spellStart"/>
            <w:r w:rsidRPr="00FC2626">
              <w:rPr>
                <w:bCs/>
                <w:color w:val="000000"/>
                <w:sz w:val="22"/>
                <w:szCs w:val="22"/>
                <w:lang w:eastAsia="en-US"/>
              </w:rPr>
              <w:t>еденицу</w:t>
            </w:r>
            <w:proofErr w:type="spellEnd"/>
            <w:r w:rsidRPr="00FC2626">
              <w:rPr>
                <w:bCs/>
                <w:color w:val="000000"/>
                <w:sz w:val="22"/>
                <w:szCs w:val="22"/>
                <w:lang w:eastAsia="en-US"/>
              </w:rPr>
              <w:t xml:space="preserve"> Изделия, руб.</w:t>
            </w:r>
          </w:p>
        </w:tc>
        <w:tc>
          <w:tcPr>
            <w:tcW w:w="1134" w:type="dxa"/>
            <w:tcBorders>
              <w:top w:val="single" w:sz="8" w:space="0" w:color="000000"/>
              <w:left w:val="nil"/>
              <w:bottom w:val="single" w:sz="4" w:space="0" w:color="auto"/>
              <w:right w:val="single" w:sz="8" w:space="0" w:color="000000"/>
            </w:tcBorders>
            <w:vAlign w:val="center"/>
            <w:hideMark/>
          </w:tcPr>
          <w:p w:rsidR="00837056" w:rsidRPr="00FC2626" w:rsidRDefault="00837056" w:rsidP="00863502">
            <w:pPr>
              <w:jc w:val="center"/>
              <w:rPr>
                <w:bCs/>
                <w:color w:val="000000"/>
                <w:sz w:val="22"/>
                <w:szCs w:val="22"/>
                <w:lang w:val="en-US" w:eastAsia="en-US"/>
              </w:rPr>
            </w:pPr>
            <w:r w:rsidRPr="00FC2626">
              <w:rPr>
                <w:bCs/>
                <w:color w:val="000000"/>
                <w:sz w:val="22"/>
                <w:szCs w:val="22"/>
                <w:lang w:val="en-US" w:eastAsia="en-US"/>
              </w:rPr>
              <w:t>Кол</w:t>
            </w:r>
            <w:r w:rsidRPr="00FC2626">
              <w:rPr>
                <w:bCs/>
                <w:color w:val="000000"/>
                <w:sz w:val="22"/>
                <w:szCs w:val="22"/>
                <w:lang w:eastAsia="en-US"/>
              </w:rPr>
              <w:t>-</w:t>
            </w:r>
            <w:r w:rsidRPr="00FC2626">
              <w:rPr>
                <w:bCs/>
                <w:color w:val="000000"/>
                <w:sz w:val="22"/>
                <w:szCs w:val="22"/>
                <w:lang w:val="en-US" w:eastAsia="en-US"/>
              </w:rPr>
              <w:t xml:space="preserve">во </w:t>
            </w:r>
          </w:p>
        </w:tc>
      </w:tr>
      <w:tr w:rsidR="00837056"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992B81" w:rsidRDefault="00992B81" w:rsidP="00FC2626">
            <w:pPr>
              <w:tabs>
                <w:tab w:val="left" w:pos="2640"/>
              </w:tabs>
              <w:jc w:val="center"/>
            </w:pPr>
          </w:p>
          <w:p w:rsidR="00992B81" w:rsidRDefault="00992B81" w:rsidP="00FC2626">
            <w:pPr>
              <w:tabs>
                <w:tab w:val="left" w:pos="2640"/>
              </w:tabs>
              <w:jc w:val="center"/>
            </w:pPr>
            <w:r w:rsidRPr="00182DC2">
              <w:rPr>
                <w:color w:val="000000"/>
              </w:rPr>
              <w:t>Аппарат на голеностопный сустав</w:t>
            </w:r>
            <w:r w:rsidRPr="00FC2626">
              <w:t xml:space="preserve"> </w:t>
            </w:r>
          </w:p>
          <w:p w:rsidR="00837056" w:rsidRPr="001E7951" w:rsidRDefault="00837056" w:rsidP="00992B81">
            <w:pPr>
              <w:tabs>
                <w:tab w:val="left" w:pos="2640"/>
              </w:tabs>
              <w:jc w:val="center"/>
              <w:rPr>
                <w:bCs/>
              </w:rPr>
            </w:pPr>
          </w:p>
        </w:tc>
        <w:tc>
          <w:tcPr>
            <w:tcW w:w="5387" w:type="dxa"/>
            <w:tcBorders>
              <w:top w:val="single" w:sz="4" w:space="0" w:color="auto"/>
              <w:left w:val="single" w:sz="4" w:space="0" w:color="auto"/>
              <w:bottom w:val="single" w:sz="4" w:space="0" w:color="auto"/>
              <w:right w:val="single" w:sz="4" w:space="0" w:color="auto"/>
            </w:tcBorders>
            <w:vAlign w:val="center"/>
          </w:tcPr>
          <w:p w:rsidR="00837056" w:rsidRPr="00992B81" w:rsidRDefault="00992B81" w:rsidP="009960E3">
            <w:pPr>
              <w:pStyle w:val="HTML"/>
              <w:jc w:val="both"/>
              <w:rPr>
                <w:rFonts w:ascii="Times New Roman" w:hAnsi="Times New Roman" w:cs="Times New Roman"/>
                <w:sz w:val="24"/>
                <w:szCs w:val="24"/>
              </w:rPr>
            </w:pPr>
            <w:r w:rsidRPr="00992B81">
              <w:rPr>
                <w:rFonts w:ascii="Times New Roman" w:hAnsi="Times New Roman" w:cs="Times New Roman"/>
                <w:sz w:val="24"/>
                <w:szCs w:val="24"/>
              </w:rPr>
              <w:t>Аппарат на голеностопный сустав, фиксирующий. Индивидуальная приемная гильза изготавливается по слепку. Материал приемной гильзы - кожа. Металлические полуфабрикаты, крепление - с использованием кожаных полуфабрикатов / ленты «Контакт». Назначение постоянное.</w:t>
            </w:r>
          </w:p>
        </w:tc>
        <w:tc>
          <w:tcPr>
            <w:tcW w:w="1276" w:type="dxa"/>
            <w:tcBorders>
              <w:top w:val="single" w:sz="4" w:space="0" w:color="auto"/>
              <w:left w:val="single" w:sz="4" w:space="0" w:color="auto"/>
              <w:bottom w:val="single" w:sz="4" w:space="0" w:color="auto"/>
              <w:right w:val="single" w:sz="4" w:space="0" w:color="auto"/>
            </w:tcBorders>
          </w:tcPr>
          <w:p w:rsidR="00837056" w:rsidRPr="001E7951" w:rsidRDefault="00837056" w:rsidP="009960E3">
            <w:pPr>
              <w:jc w:val="center"/>
              <w:rPr>
                <w:color w:val="000000"/>
                <w:lang w:eastAsia="en-US"/>
              </w:rPr>
            </w:pPr>
          </w:p>
          <w:p w:rsidR="00837056" w:rsidRPr="001E7951" w:rsidRDefault="00837056" w:rsidP="001E7951">
            <w:pPr>
              <w:rPr>
                <w:lang w:eastAsia="en-US"/>
              </w:rPr>
            </w:pPr>
          </w:p>
          <w:p w:rsidR="00837056" w:rsidRPr="001E7951" w:rsidRDefault="00837056" w:rsidP="001E7951">
            <w:pPr>
              <w:rPr>
                <w:lang w:eastAsia="en-US"/>
              </w:rPr>
            </w:pPr>
          </w:p>
          <w:p w:rsidR="00837056" w:rsidRPr="001E7951" w:rsidRDefault="00837056" w:rsidP="001E7951">
            <w:pPr>
              <w:rPr>
                <w:lang w:eastAsia="en-US"/>
              </w:rPr>
            </w:pPr>
          </w:p>
          <w:p w:rsidR="00837056" w:rsidRPr="001E7951" w:rsidRDefault="00837056" w:rsidP="001E7951">
            <w:pPr>
              <w:rPr>
                <w:lang w:eastAsia="en-US"/>
              </w:rPr>
            </w:pPr>
          </w:p>
          <w:p w:rsidR="00837056" w:rsidRPr="001E7951" w:rsidRDefault="00837056" w:rsidP="00837056">
            <w:pPr>
              <w:rPr>
                <w:lang w:eastAsia="en-US"/>
              </w:rPr>
            </w:pPr>
            <w:r w:rsidRPr="001E7951">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837056" w:rsidRPr="001E7951" w:rsidRDefault="00837056" w:rsidP="009960E3">
            <w:pPr>
              <w:jc w:val="center"/>
              <w:rPr>
                <w:color w:val="000000"/>
                <w:lang w:eastAsia="en-US"/>
              </w:rPr>
            </w:pPr>
          </w:p>
          <w:p w:rsidR="00837056" w:rsidRPr="001E7951" w:rsidRDefault="007C54C1" w:rsidP="009960E3">
            <w:pPr>
              <w:jc w:val="center"/>
              <w:rPr>
                <w:color w:val="000000"/>
                <w:lang w:eastAsia="en-US"/>
              </w:rPr>
            </w:pPr>
            <w:r>
              <w:rPr>
                <w:color w:val="000000"/>
                <w:lang w:eastAsia="en-US"/>
              </w:rPr>
              <w:t>10</w:t>
            </w:r>
          </w:p>
          <w:p w:rsidR="00837056" w:rsidRPr="001E7951" w:rsidRDefault="00837056" w:rsidP="009960E3">
            <w:pPr>
              <w:jc w:val="center"/>
              <w:rPr>
                <w:color w:val="000000"/>
                <w:lang w:eastAsia="en-US"/>
              </w:rPr>
            </w:pPr>
          </w:p>
        </w:tc>
      </w:tr>
      <w:tr w:rsidR="00FC2626"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992B81" w:rsidRPr="00FC2626" w:rsidRDefault="00992B81" w:rsidP="00992B81">
            <w:pPr>
              <w:tabs>
                <w:tab w:val="left" w:pos="2640"/>
              </w:tabs>
              <w:jc w:val="center"/>
            </w:pPr>
            <w:r w:rsidRPr="00FC2626">
              <w:t>Аппарат на всю ногу</w:t>
            </w:r>
          </w:p>
          <w:p w:rsidR="00FC2626" w:rsidRPr="00182DC2" w:rsidRDefault="00FC2626" w:rsidP="00863502">
            <w:pPr>
              <w:snapToGrid w:val="0"/>
              <w:jc w:val="center"/>
              <w:rPr>
                <w:color w:val="000000"/>
              </w:rPr>
            </w:pPr>
          </w:p>
        </w:tc>
        <w:tc>
          <w:tcPr>
            <w:tcW w:w="5387" w:type="dxa"/>
            <w:tcBorders>
              <w:top w:val="single" w:sz="4" w:space="0" w:color="auto"/>
              <w:left w:val="single" w:sz="4" w:space="0" w:color="auto"/>
              <w:bottom w:val="single" w:sz="4" w:space="0" w:color="auto"/>
              <w:right w:val="single" w:sz="4" w:space="0" w:color="auto"/>
            </w:tcBorders>
            <w:vAlign w:val="center"/>
          </w:tcPr>
          <w:p w:rsidR="00FC2626" w:rsidRPr="003F4C56" w:rsidRDefault="00FC2626" w:rsidP="00FC2626">
            <w:pPr>
              <w:pStyle w:val="HTML"/>
              <w:rPr>
                <w:rFonts w:ascii="Times New Roman" w:hAnsi="Times New Roman" w:cs="Times New Roman"/>
                <w:sz w:val="24"/>
                <w:szCs w:val="24"/>
              </w:rPr>
            </w:pPr>
            <w:r w:rsidRPr="003F4C56">
              <w:rPr>
                <w:rFonts w:ascii="Times New Roman" w:hAnsi="Times New Roman" w:cs="Times New Roman"/>
                <w:sz w:val="24"/>
                <w:szCs w:val="24"/>
              </w:rPr>
              <w:t>Аппарат на всю ногу фиксирующий. Индивидуальная приемная гильза изготавливается по слепку, гильза бедра, голени и башмачка -  кожаная, металлические шины с замком / без замка в коленном шарнире, сиденье (полукольцо) металлические, крепление с использованием кожаных полуфабрикатов и шнуровки. Назначение – постоянное.</w:t>
            </w:r>
          </w:p>
        </w:tc>
        <w:tc>
          <w:tcPr>
            <w:tcW w:w="1276" w:type="dxa"/>
            <w:tcBorders>
              <w:top w:val="single" w:sz="4" w:space="0" w:color="auto"/>
              <w:left w:val="single" w:sz="4" w:space="0" w:color="auto"/>
              <w:bottom w:val="single" w:sz="4" w:space="0" w:color="auto"/>
              <w:right w:val="single" w:sz="4" w:space="0" w:color="auto"/>
            </w:tcBorders>
          </w:tcPr>
          <w:p w:rsidR="00FC2626" w:rsidRPr="001E7951" w:rsidRDefault="00FC2626" w:rsidP="009960E3">
            <w:pPr>
              <w:jc w:val="center"/>
              <w:rPr>
                <w:color w:val="000000"/>
                <w:lang w:eastAsia="en-US"/>
              </w:rPr>
            </w:pPr>
          </w:p>
          <w:p w:rsidR="00FC2626" w:rsidRPr="001E7951" w:rsidRDefault="00FC2626" w:rsidP="001E7951">
            <w:pPr>
              <w:rPr>
                <w:lang w:eastAsia="en-US"/>
              </w:rPr>
            </w:pPr>
          </w:p>
          <w:p w:rsidR="00FC2626" w:rsidRPr="001E7951" w:rsidRDefault="00FC2626" w:rsidP="001E7951">
            <w:pPr>
              <w:rPr>
                <w:lang w:eastAsia="en-US"/>
              </w:rPr>
            </w:pPr>
          </w:p>
          <w:p w:rsidR="00FC2626" w:rsidRPr="001E7951" w:rsidRDefault="00FC2626" w:rsidP="001E7951">
            <w:pPr>
              <w:rPr>
                <w:lang w:eastAsia="en-US"/>
              </w:rPr>
            </w:pPr>
          </w:p>
          <w:p w:rsidR="00FC2626" w:rsidRPr="001E7951" w:rsidRDefault="00FC2626" w:rsidP="001E7951">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C2626" w:rsidRPr="001E7951" w:rsidRDefault="007C54C1" w:rsidP="009960E3">
            <w:pPr>
              <w:jc w:val="center"/>
              <w:rPr>
                <w:color w:val="000000"/>
                <w:lang w:eastAsia="en-US"/>
              </w:rPr>
            </w:pPr>
            <w:r>
              <w:rPr>
                <w:color w:val="000000"/>
                <w:lang w:eastAsia="en-US"/>
              </w:rPr>
              <w:t>16</w:t>
            </w:r>
          </w:p>
        </w:tc>
      </w:tr>
      <w:tr w:rsidR="007C54C1"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7C54C1" w:rsidRPr="00FC2626" w:rsidRDefault="007C54C1" w:rsidP="00992B81">
            <w:pPr>
              <w:tabs>
                <w:tab w:val="left" w:pos="2640"/>
              </w:tabs>
              <w:jc w:val="center"/>
            </w:pPr>
            <w:proofErr w:type="gramStart"/>
            <w:r>
              <w:t>Аппарат на голеностопный и коленный суставы</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rsidR="007C54C1" w:rsidRPr="00D32EA8" w:rsidRDefault="007C54C1" w:rsidP="007C54C1">
            <w:pPr>
              <w:pStyle w:val="a3"/>
              <w:snapToGrid w:val="0"/>
              <w:jc w:val="both"/>
              <w:rPr>
                <w:lang w:val="ru-RU"/>
              </w:rPr>
            </w:pPr>
            <w:proofErr w:type="gramStart"/>
            <w:r w:rsidRPr="009F5C33">
              <w:rPr>
                <w:lang w:val="ru-RU"/>
              </w:rPr>
              <w:t>Аппарат на голеностопный и коленный суставы, фиксирующий.</w:t>
            </w:r>
            <w:proofErr w:type="gramEnd"/>
            <w:r w:rsidRPr="009F5C33">
              <w:rPr>
                <w:lang w:val="ru-RU"/>
              </w:rPr>
              <w:t xml:space="preserve"> Индивидуальная приемная гильза должна изготавливаться по слепку. Материал приемной гильзы должен быть термопластичный материал. Изготовление должно осуществляться с использованием узлов (модулей) и полуфабрикатов, металлических шин с замком или без замка в коленном шарнире. Крепление должно быть с использованием кожаных полуфабрикатов или ленты «Контакт». </w:t>
            </w:r>
            <w:proofErr w:type="spellStart"/>
            <w:r>
              <w:t>Назначение</w:t>
            </w:r>
            <w:proofErr w:type="spellEnd"/>
            <w:r>
              <w:t xml:space="preserve"> – </w:t>
            </w:r>
            <w:proofErr w:type="spellStart"/>
            <w:r>
              <w:t>постоянное</w:t>
            </w:r>
            <w:proofErr w:type="spellEnd"/>
            <w:r>
              <w:t>.</w:t>
            </w:r>
          </w:p>
        </w:tc>
        <w:tc>
          <w:tcPr>
            <w:tcW w:w="1276" w:type="dxa"/>
            <w:tcBorders>
              <w:top w:val="single" w:sz="4" w:space="0" w:color="auto"/>
              <w:left w:val="single" w:sz="4" w:space="0" w:color="auto"/>
              <w:bottom w:val="single" w:sz="4" w:space="0" w:color="auto"/>
              <w:right w:val="single" w:sz="4" w:space="0" w:color="auto"/>
            </w:tcBorders>
          </w:tcPr>
          <w:p w:rsidR="007C54C1" w:rsidRPr="001E7951" w:rsidRDefault="007C54C1" w:rsidP="009960E3">
            <w:pPr>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C54C1" w:rsidRDefault="007C54C1" w:rsidP="009960E3">
            <w:pPr>
              <w:jc w:val="center"/>
              <w:rPr>
                <w:color w:val="000000"/>
                <w:lang w:eastAsia="en-US"/>
              </w:rPr>
            </w:pPr>
            <w:r>
              <w:rPr>
                <w:color w:val="000000"/>
                <w:lang w:eastAsia="en-US"/>
              </w:rPr>
              <w:t>7</w:t>
            </w:r>
          </w:p>
        </w:tc>
      </w:tr>
      <w:tr w:rsidR="007C54C1"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7C54C1" w:rsidRPr="00FC2626" w:rsidRDefault="007C54C1" w:rsidP="00992B81">
            <w:pPr>
              <w:tabs>
                <w:tab w:val="left" w:pos="2640"/>
              </w:tabs>
              <w:jc w:val="center"/>
            </w:pPr>
            <w:r w:rsidRPr="00193783">
              <w:rPr>
                <w:color w:val="000000"/>
              </w:rPr>
              <w:t xml:space="preserve">Аппарат на </w:t>
            </w:r>
            <w:r>
              <w:rPr>
                <w:color w:val="000000"/>
              </w:rPr>
              <w:t>коленный</w:t>
            </w:r>
            <w:r w:rsidRPr="00193783">
              <w:rPr>
                <w:color w:val="000000"/>
              </w:rPr>
              <w:t xml:space="preserve"> сустав</w:t>
            </w:r>
          </w:p>
        </w:tc>
        <w:tc>
          <w:tcPr>
            <w:tcW w:w="5387" w:type="dxa"/>
            <w:tcBorders>
              <w:top w:val="single" w:sz="4" w:space="0" w:color="auto"/>
              <w:left w:val="single" w:sz="4" w:space="0" w:color="auto"/>
              <w:bottom w:val="single" w:sz="4" w:space="0" w:color="auto"/>
              <w:right w:val="single" w:sz="4" w:space="0" w:color="auto"/>
            </w:tcBorders>
            <w:vAlign w:val="center"/>
          </w:tcPr>
          <w:p w:rsidR="007C54C1" w:rsidRPr="009840AE" w:rsidRDefault="007C54C1" w:rsidP="007C54C1">
            <w:pPr>
              <w:pStyle w:val="HTML"/>
              <w:jc w:val="both"/>
              <w:rPr>
                <w:rFonts w:ascii="Times New Roman" w:hAnsi="Times New Roman" w:cs="Times New Roman"/>
                <w:sz w:val="24"/>
                <w:szCs w:val="24"/>
              </w:rPr>
            </w:pPr>
            <w:r w:rsidRPr="009840AE">
              <w:rPr>
                <w:rFonts w:ascii="Times New Roman" w:hAnsi="Times New Roman" w:cs="Times New Roman"/>
                <w:sz w:val="24"/>
                <w:szCs w:val="24"/>
                <w:lang w:eastAsia="en-US"/>
              </w:rPr>
              <w:t>Аппарат на коленный сустав, фиксирующий. Индивидуальная приемная гильза по слепку. Материал приемной гильзы - слоистый пластик, термопласт, кожа. Шина металлическая с замком или без замка в коленном шарнире. Крепление с помощью застежки «Контакт» или кожаных полуфабрикатов. Назначение - постоянное.</w:t>
            </w:r>
          </w:p>
        </w:tc>
        <w:tc>
          <w:tcPr>
            <w:tcW w:w="1276" w:type="dxa"/>
            <w:tcBorders>
              <w:top w:val="single" w:sz="4" w:space="0" w:color="auto"/>
              <w:left w:val="single" w:sz="4" w:space="0" w:color="auto"/>
              <w:bottom w:val="single" w:sz="4" w:space="0" w:color="auto"/>
              <w:right w:val="single" w:sz="4" w:space="0" w:color="auto"/>
            </w:tcBorders>
          </w:tcPr>
          <w:p w:rsidR="007C54C1" w:rsidRPr="001E7951" w:rsidRDefault="007C54C1" w:rsidP="009960E3">
            <w:pPr>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C54C1" w:rsidRDefault="007C54C1" w:rsidP="009960E3">
            <w:pPr>
              <w:jc w:val="center"/>
              <w:rPr>
                <w:color w:val="000000"/>
                <w:lang w:eastAsia="en-US"/>
              </w:rPr>
            </w:pPr>
            <w:r>
              <w:rPr>
                <w:color w:val="000000"/>
                <w:lang w:eastAsia="en-US"/>
              </w:rPr>
              <w:t>10</w:t>
            </w:r>
          </w:p>
        </w:tc>
      </w:tr>
      <w:tr w:rsidR="007C54C1"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7C54C1" w:rsidRPr="00FC2626" w:rsidRDefault="007C54C1" w:rsidP="00992B81">
            <w:pPr>
              <w:tabs>
                <w:tab w:val="left" w:pos="2640"/>
              </w:tabs>
              <w:jc w:val="center"/>
            </w:pPr>
            <w:r>
              <w:rPr>
                <w:color w:val="000000"/>
                <w:szCs w:val="20"/>
              </w:rPr>
              <w:lastRenderedPageBreak/>
              <w:t>Аппарат на тазобедренный сустав</w:t>
            </w:r>
          </w:p>
        </w:tc>
        <w:tc>
          <w:tcPr>
            <w:tcW w:w="5387" w:type="dxa"/>
            <w:tcBorders>
              <w:top w:val="single" w:sz="4" w:space="0" w:color="auto"/>
              <w:left w:val="single" w:sz="4" w:space="0" w:color="auto"/>
              <w:bottom w:val="single" w:sz="4" w:space="0" w:color="auto"/>
              <w:right w:val="single" w:sz="4" w:space="0" w:color="auto"/>
            </w:tcBorders>
            <w:vAlign w:val="center"/>
          </w:tcPr>
          <w:p w:rsidR="007C54C1" w:rsidRPr="00B53D88" w:rsidRDefault="007C54C1" w:rsidP="007C54C1">
            <w:pPr>
              <w:pStyle w:val="HTML"/>
              <w:jc w:val="both"/>
              <w:rPr>
                <w:rFonts w:cs="Times New Roman"/>
              </w:rPr>
            </w:pPr>
            <w:r w:rsidRPr="00100414">
              <w:rPr>
                <w:rFonts w:ascii="Times New Roman" w:hAnsi="Times New Roman" w:cs="Times New Roman"/>
                <w:sz w:val="24"/>
                <w:szCs w:val="24"/>
              </w:rPr>
              <w:t xml:space="preserve">Аппарат на тазобедренный сустав, фиксирующий. Должен состоять из </w:t>
            </w:r>
            <w:proofErr w:type="spellStart"/>
            <w:r w:rsidRPr="00100414">
              <w:rPr>
                <w:rFonts w:ascii="Times New Roman" w:hAnsi="Times New Roman" w:cs="Times New Roman"/>
                <w:sz w:val="24"/>
                <w:szCs w:val="24"/>
              </w:rPr>
              <w:t>полукорсета</w:t>
            </w:r>
            <w:proofErr w:type="spellEnd"/>
            <w:r w:rsidRPr="00100414">
              <w:rPr>
                <w:rFonts w:ascii="Times New Roman" w:hAnsi="Times New Roman" w:cs="Times New Roman"/>
                <w:sz w:val="24"/>
                <w:szCs w:val="24"/>
              </w:rPr>
              <w:t xml:space="preserve"> и гильзы бедра </w:t>
            </w:r>
            <w:proofErr w:type="gramStart"/>
            <w:r w:rsidRPr="00100414">
              <w:rPr>
                <w:rFonts w:ascii="Times New Roman" w:hAnsi="Times New Roman" w:cs="Times New Roman"/>
                <w:sz w:val="24"/>
                <w:szCs w:val="24"/>
              </w:rPr>
              <w:t>соединенных</w:t>
            </w:r>
            <w:proofErr w:type="gramEnd"/>
            <w:r w:rsidRPr="00100414">
              <w:rPr>
                <w:rFonts w:ascii="Times New Roman" w:hAnsi="Times New Roman" w:cs="Times New Roman"/>
                <w:sz w:val="24"/>
                <w:szCs w:val="24"/>
              </w:rPr>
              <w:t xml:space="preserve"> металлической шиной или тазобедренным замковым шарниром. Индивидуальная приемная гильза по слепку. Материал </w:t>
            </w:r>
            <w:proofErr w:type="spellStart"/>
            <w:r w:rsidRPr="00100414">
              <w:rPr>
                <w:rFonts w:ascii="Times New Roman" w:hAnsi="Times New Roman" w:cs="Times New Roman"/>
                <w:sz w:val="24"/>
                <w:szCs w:val="24"/>
              </w:rPr>
              <w:t>полукорсета</w:t>
            </w:r>
            <w:proofErr w:type="spellEnd"/>
            <w:r w:rsidRPr="00100414">
              <w:rPr>
                <w:rFonts w:ascii="Times New Roman" w:hAnsi="Times New Roman" w:cs="Times New Roman"/>
                <w:sz w:val="24"/>
                <w:szCs w:val="24"/>
              </w:rPr>
              <w:t xml:space="preserve"> и гильзы бедра - полиэтилен низкого давления. В качестве вкладного элемента должны применяются вспененные материалы. Крепление должно быть с помощью застежки контакт. Назначение - постоянное.</w:t>
            </w:r>
          </w:p>
        </w:tc>
        <w:tc>
          <w:tcPr>
            <w:tcW w:w="1276" w:type="dxa"/>
            <w:tcBorders>
              <w:top w:val="single" w:sz="4" w:space="0" w:color="auto"/>
              <w:left w:val="single" w:sz="4" w:space="0" w:color="auto"/>
              <w:bottom w:val="single" w:sz="4" w:space="0" w:color="auto"/>
              <w:right w:val="single" w:sz="4" w:space="0" w:color="auto"/>
            </w:tcBorders>
          </w:tcPr>
          <w:p w:rsidR="007C54C1" w:rsidRPr="001E7951" w:rsidRDefault="007C54C1" w:rsidP="009960E3">
            <w:pPr>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C54C1" w:rsidRDefault="007C54C1" w:rsidP="009960E3">
            <w:pPr>
              <w:jc w:val="center"/>
              <w:rPr>
                <w:color w:val="000000"/>
                <w:lang w:eastAsia="en-US"/>
              </w:rPr>
            </w:pPr>
            <w:r>
              <w:rPr>
                <w:color w:val="000000"/>
                <w:lang w:eastAsia="en-US"/>
              </w:rPr>
              <w:t>4</w:t>
            </w:r>
          </w:p>
        </w:tc>
      </w:tr>
    </w:tbl>
    <w:p w:rsidR="00863502" w:rsidRPr="007D4743" w:rsidRDefault="00863502" w:rsidP="00863502">
      <w:pPr>
        <w:keepNext/>
        <w:keepLines/>
        <w:widowControl w:val="0"/>
        <w:tabs>
          <w:tab w:val="left" w:pos="729"/>
          <w:tab w:val="left" w:pos="3555"/>
        </w:tabs>
        <w:ind w:firstLine="709"/>
        <w:jc w:val="both"/>
        <w:rPr>
          <w:rFonts w:eastAsia="Lucida Sans Unicode"/>
          <w:kern w:val="1"/>
          <w:sz w:val="26"/>
          <w:szCs w:val="26"/>
        </w:rPr>
      </w:pPr>
      <w:r w:rsidRPr="007D4743">
        <w:rPr>
          <w:sz w:val="26"/>
          <w:szCs w:val="26"/>
        </w:rPr>
        <w:t xml:space="preserve">   </w:t>
      </w:r>
    </w:p>
    <w:p w:rsidR="00863502" w:rsidRPr="001E7951" w:rsidRDefault="00863502" w:rsidP="00863502">
      <w:pPr>
        <w:keepNext/>
        <w:keepLines/>
        <w:widowControl w:val="0"/>
        <w:tabs>
          <w:tab w:val="left" w:pos="729"/>
          <w:tab w:val="left" w:pos="3555"/>
        </w:tabs>
        <w:suppressAutoHyphens/>
        <w:ind w:firstLine="851"/>
        <w:jc w:val="center"/>
        <w:rPr>
          <w:rFonts w:eastAsia="Lucida Sans Unicode"/>
          <w:kern w:val="2"/>
        </w:rPr>
      </w:pPr>
      <w:r w:rsidRPr="001E7951">
        <w:rPr>
          <w:rFonts w:eastAsia="Lucida Sans Unicode"/>
          <w:b/>
          <w:kern w:val="2"/>
        </w:rPr>
        <w:t>Требования к качеству выполнения работ:</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 xml:space="preserve">Выполнение работ по обеспечению отдельных категорий граждан из числа ветеранов аппаратами на нижние конечности должно быть направлено на изготовление изделий, к которым относятся изделия для обеспечения механической фиксации, разгрузки, компенсации поврежденных или реконструированных суставов, костей, </w:t>
      </w:r>
      <w:proofErr w:type="spellStart"/>
      <w:r w:rsidRPr="001E7951">
        <w:rPr>
          <w:rFonts w:eastAsia="Lucida Sans Unicode"/>
          <w:kern w:val="2"/>
        </w:rPr>
        <w:t>сумочно</w:t>
      </w:r>
      <w:proofErr w:type="spellEnd"/>
      <w:r w:rsidRPr="001E7951">
        <w:rPr>
          <w:rFonts w:eastAsia="Lucida Sans Unicode"/>
          <w:kern w:val="2"/>
        </w:rPr>
        <w:t>-связочного или мышечно-связочного аппарата и других функций организма.</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При выполнении работ по обеспечению отдельных категорий граждан из числа ветеранов аппаратами на нижние конечности должен быть осуществлен контроль при примерке и после изготовления указанны</w:t>
      </w:r>
      <w:r w:rsidR="007252B4">
        <w:rPr>
          <w:rFonts w:eastAsia="Lucida Sans Unicode"/>
          <w:kern w:val="2"/>
        </w:rPr>
        <w:t>х средств реабилитации. Получатели</w:t>
      </w:r>
      <w:r w:rsidRPr="001E7951">
        <w:rPr>
          <w:rFonts w:eastAsia="Lucida Sans Unicode"/>
          <w:kern w:val="2"/>
        </w:rPr>
        <w:t xml:space="preserve"> не должны испытывать болей, избыточного давления, обуславливающих нарушения кровообращения. Изделие должно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кровообращение конечности.</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proofErr w:type="gramStart"/>
      <w:r w:rsidRPr="001E7951">
        <w:rPr>
          <w:rFonts w:eastAsia="Lucida Sans Unicode"/>
          <w:kern w:val="2"/>
        </w:rPr>
        <w:t xml:space="preserve">Работы по обеспечению инвалидов и отдельных категорий граждан из числа ветеранов аппаратами на нижние конечности должны быть выполнены с надлежащим качеством и в установленные сроки, и считаются эффективно исполненными, если выбор конструкции изделий производится с учетом анатомо-функционального состояния костно-мышечной системы и медико-социальных показаний, а результатом этого является полная или частичная компенсация стойких ограничений жизнедеятельности Получателя. </w:t>
      </w:r>
      <w:proofErr w:type="gramEnd"/>
    </w:p>
    <w:p w:rsidR="00863502" w:rsidRPr="001E7951" w:rsidRDefault="00863502" w:rsidP="00863502">
      <w:pPr>
        <w:widowControl w:val="0"/>
        <w:tabs>
          <w:tab w:val="left" w:pos="729"/>
          <w:tab w:val="left" w:pos="3555"/>
        </w:tabs>
        <w:suppressAutoHyphens/>
        <w:ind w:firstLine="851"/>
        <w:jc w:val="both"/>
        <w:rPr>
          <w:rFonts w:eastAsia="Lucida Sans Unicode"/>
          <w:bCs/>
          <w:kern w:val="2"/>
        </w:rPr>
      </w:pPr>
      <w:r w:rsidRPr="001E7951">
        <w:rPr>
          <w:rFonts w:eastAsia="Lucida Sans Unicode"/>
          <w:kern w:val="2"/>
        </w:rPr>
        <w:t>Изделия должны быть новыми, свободными от прав третьих лиц</w:t>
      </w:r>
      <w:r w:rsidRPr="001E7951">
        <w:rPr>
          <w:rFonts w:eastAsia="Lucida Sans Unicode"/>
          <w:bCs/>
          <w:kern w:val="2"/>
        </w:rPr>
        <w:t>.</w:t>
      </w:r>
    </w:p>
    <w:p w:rsidR="00863502" w:rsidRPr="001E7951" w:rsidRDefault="00863502" w:rsidP="00863502">
      <w:pPr>
        <w:widowControl w:val="0"/>
        <w:tabs>
          <w:tab w:val="left" w:pos="729"/>
          <w:tab w:val="left" w:pos="3555"/>
        </w:tabs>
        <w:suppressAutoHyphens/>
        <w:ind w:firstLine="851"/>
        <w:jc w:val="both"/>
        <w:rPr>
          <w:rFonts w:eastAsia="Lucida Sans Unicode"/>
          <w:bCs/>
          <w:kern w:val="2"/>
        </w:rPr>
      </w:pPr>
    </w:p>
    <w:p w:rsidR="00863502" w:rsidRPr="001E7951" w:rsidRDefault="00863502" w:rsidP="00863502">
      <w:pPr>
        <w:keepNext/>
        <w:keepLines/>
        <w:widowControl w:val="0"/>
        <w:tabs>
          <w:tab w:val="left" w:pos="729"/>
          <w:tab w:val="left" w:pos="3555"/>
        </w:tabs>
        <w:suppressAutoHyphens/>
        <w:ind w:firstLine="851"/>
        <w:jc w:val="center"/>
        <w:rPr>
          <w:rFonts w:eastAsia="Lucida Sans Unicode"/>
          <w:b/>
          <w:bCs/>
          <w:iCs/>
          <w:kern w:val="2"/>
        </w:rPr>
      </w:pPr>
      <w:r w:rsidRPr="001E7951">
        <w:rPr>
          <w:rFonts w:eastAsia="Lucida Sans Unicode"/>
          <w:b/>
          <w:bCs/>
          <w:iCs/>
          <w:kern w:val="2"/>
        </w:rPr>
        <w:t>Требования к безопасности работ:</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 xml:space="preserve">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ГОСТ </w:t>
      </w:r>
      <w:proofErr w:type="gramStart"/>
      <w:r w:rsidRPr="001E7951">
        <w:rPr>
          <w:rFonts w:eastAsia="Lucida Sans Unicode"/>
          <w:kern w:val="2"/>
        </w:rPr>
        <w:t>Р</w:t>
      </w:r>
      <w:proofErr w:type="gramEnd"/>
      <w:r w:rsidRPr="001E7951">
        <w:rPr>
          <w:rFonts w:eastAsia="Lucida Sans Unicode"/>
          <w:kern w:val="2"/>
        </w:rPr>
        <w:t xml:space="preserve"> ИСО 22523-2007 «Протезы конечностей и </w:t>
      </w:r>
      <w:proofErr w:type="spellStart"/>
      <w:r w:rsidRPr="001E7951">
        <w:rPr>
          <w:rFonts w:eastAsia="Lucida Sans Unicode"/>
          <w:kern w:val="2"/>
        </w:rPr>
        <w:t>ортезы</w:t>
      </w:r>
      <w:proofErr w:type="spellEnd"/>
      <w:r w:rsidRPr="001E7951">
        <w:rPr>
          <w:rFonts w:eastAsia="Lucida Sans Unicode"/>
          <w:kern w:val="2"/>
        </w:rPr>
        <w:t xml:space="preserve"> наружные» п. 5 Требования к материалам. </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 xml:space="preserve">Протезно-ортопедические изделия должны соответствовать ГОСТ </w:t>
      </w:r>
      <w:proofErr w:type="gramStart"/>
      <w:r w:rsidRPr="001E7951">
        <w:rPr>
          <w:rFonts w:eastAsia="Lucida Sans Unicode"/>
          <w:kern w:val="2"/>
        </w:rPr>
        <w:t>Р</w:t>
      </w:r>
      <w:proofErr w:type="gramEnd"/>
      <w:r w:rsidRPr="001E7951">
        <w:rPr>
          <w:rFonts w:eastAsia="Lucida Sans Unicode"/>
          <w:kern w:val="2"/>
        </w:rPr>
        <w:t xml:space="preserve"> 52770-2016 «Изделия медицинские» п.4. Общие положения, ГОСТ </w:t>
      </w:r>
      <w:proofErr w:type="gramStart"/>
      <w:r w:rsidRPr="001E7951">
        <w:rPr>
          <w:rFonts w:eastAsia="Lucida Sans Unicode"/>
          <w:kern w:val="2"/>
        </w:rPr>
        <w:t>Р</w:t>
      </w:r>
      <w:proofErr w:type="gramEnd"/>
      <w:r w:rsidRPr="001E7951">
        <w:rPr>
          <w:rFonts w:eastAsia="Lucida Sans Unicode"/>
          <w:kern w:val="2"/>
        </w:rPr>
        <w:t xml:space="preserve"> 51632-20</w:t>
      </w:r>
      <w:r w:rsidR="009960E3">
        <w:rPr>
          <w:rFonts w:eastAsia="Lucida Sans Unicode"/>
          <w:kern w:val="2"/>
        </w:rPr>
        <w:t>21</w:t>
      </w:r>
      <w:r w:rsidRPr="001E7951">
        <w:rPr>
          <w:rFonts w:eastAsia="Lucida Sans Unicode"/>
          <w:kern w:val="2"/>
        </w:rPr>
        <w:t xml:space="preserve"> «Технические средства реабилитации людей с ограничениями жизнедеятельности» п.4. Общие технические требования, ГОСТ </w:t>
      </w:r>
      <w:proofErr w:type="gramStart"/>
      <w:r w:rsidRPr="001E7951">
        <w:rPr>
          <w:rFonts w:eastAsia="Lucida Sans Unicode"/>
          <w:kern w:val="2"/>
        </w:rPr>
        <w:t>Р</w:t>
      </w:r>
      <w:proofErr w:type="gramEnd"/>
      <w:r w:rsidRPr="001E7951">
        <w:rPr>
          <w:rFonts w:eastAsia="Lucida Sans Unicode"/>
          <w:kern w:val="2"/>
        </w:rPr>
        <w:t xml:space="preserve"> ИСО 22523-2007 «Протезы конечностей и </w:t>
      </w:r>
      <w:proofErr w:type="spellStart"/>
      <w:r w:rsidRPr="001E7951">
        <w:rPr>
          <w:rFonts w:eastAsia="Lucida Sans Unicode"/>
          <w:kern w:val="2"/>
        </w:rPr>
        <w:t>ортезы</w:t>
      </w:r>
      <w:proofErr w:type="spellEnd"/>
      <w:r w:rsidRPr="001E7951">
        <w:rPr>
          <w:rFonts w:eastAsia="Lucida Sans Unicode"/>
          <w:kern w:val="2"/>
        </w:rPr>
        <w:t xml:space="preserve"> наружные» п.1. Область применения, п.4. Общие требования, п.12. Технические требования, п.13. Информация, предоставляемая изготовителем.</w:t>
      </w:r>
    </w:p>
    <w:p w:rsidR="00863502" w:rsidRPr="004C3FB4" w:rsidRDefault="00863502" w:rsidP="00863502">
      <w:pPr>
        <w:widowControl w:val="0"/>
        <w:tabs>
          <w:tab w:val="left" w:pos="729"/>
          <w:tab w:val="left" w:pos="3555"/>
        </w:tabs>
        <w:suppressAutoHyphens/>
        <w:ind w:firstLine="851"/>
        <w:jc w:val="both"/>
        <w:rPr>
          <w:rFonts w:eastAsia="Lucida Sans Unicode"/>
          <w:kern w:val="2"/>
          <w:lang w:val="en-US"/>
        </w:rPr>
      </w:pPr>
      <w:r w:rsidRPr="004C3FB4">
        <w:rPr>
          <w:rFonts w:eastAsia="Lucida Sans Unicode"/>
          <w:kern w:val="2"/>
        </w:rPr>
        <w:t xml:space="preserve">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предоставляемая изготовителем ГОСТ </w:t>
      </w:r>
      <w:proofErr w:type="gramStart"/>
      <w:r w:rsidRPr="004C3FB4">
        <w:rPr>
          <w:rFonts w:eastAsia="Lucida Sans Unicode"/>
          <w:kern w:val="2"/>
        </w:rPr>
        <w:t>Р</w:t>
      </w:r>
      <w:proofErr w:type="gramEnd"/>
      <w:r w:rsidRPr="004C3FB4">
        <w:rPr>
          <w:rFonts w:eastAsia="Lucida Sans Unicode"/>
          <w:kern w:val="2"/>
        </w:rPr>
        <w:t xml:space="preserve"> ИСО 22523-2007 «Протезы конечностей и </w:t>
      </w:r>
      <w:proofErr w:type="spellStart"/>
      <w:r w:rsidRPr="004C3FB4">
        <w:rPr>
          <w:rFonts w:eastAsia="Lucida Sans Unicode"/>
          <w:kern w:val="2"/>
        </w:rPr>
        <w:t>ортезы</w:t>
      </w:r>
      <w:proofErr w:type="spellEnd"/>
      <w:r w:rsidRPr="004C3FB4">
        <w:rPr>
          <w:rFonts w:eastAsia="Lucida Sans Unicode"/>
          <w:kern w:val="2"/>
        </w:rPr>
        <w:t xml:space="preserve"> наружные» п.14 Упаковка. </w:t>
      </w:r>
    </w:p>
    <w:p w:rsidR="004C3FB4" w:rsidRPr="004C3FB4" w:rsidRDefault="004C3FB4" w:rsidP="004C3FB4">
      <w:pPr>
        <w:widowControl w:val="0"/>
        <w:tabs>
          <w:tab w:val="left" w:pos="729"/>
          <w:tab w:val="left" w:pos="3555"/>
        </w:tabs>
        <w:jc w:val="both"/>
      </w:pPr>
      <w:r w:rsidRPr="004C3FB4">
        <w:rPr>
          <w:rFonts w:eastAsia="Lucida Sans Unicode"/>
          <w:kern w:val="2"/>
        </w:rPr>
        <w:t xml:space="preserve">    Обязательно наличие стационарного места обслуживания на территории Карачаево-</w:t>
      </w:r>
      <w:r w:rsidRPr="004C3FB4">
        <w:rPr>
          <w:rFonts w:eastAsia="Lucida Sans Unicode"/>
          <w:kern w:val="2"/>
        </w:rPr>
        <w:lastRenderedPageBreak/>
        <w:t>Черкесской Республики  для приема заказов, примерки изделий, выдачи готовых изделий и для осуществления гарантийного ремонта в период гарантийного срока службы.</w:t>
      </w:r>
    </w:p>
    <w:p w:rsidR="004C3FB4" w:rsidRPr="004C3FB4" w:rsidRDefault="004C3FB4" w:rsidP="004C3FB4">
      <w:pPr>
        <w:keepNext/>
        <w:ind w:firstLine="709"/>
        <w:jc w:val="both"/>
        <w:rPr/>
      </w:pPr>
      <w:r w:rsidRPr="004C3FB4">
        <w:rPr>
          <w:rStyle w:val="FontStyle11"/>
          <w:rFonts w:ascii="Times New Roman" w:hAnsi="Times New Roman" w:cs="Times New Roman"/>
          <w:sz w:val="24"/>
          <w:szCs w:val="24"/>
        </w:rPr>
        <w:t>Планируемый срок (периодичность) поставки товаров, выполнения работ, оказания услуг:</w:t>
      </w:r>
      <w:r w:rsidRPr="004C3FB4">
        <w:rPr>
          <w:color w:val="000000"/>
        </w:rPr>
        <w:t xml:space="preserve"> до 01.09.2024, в течение 60 (шестидесяти)  календарных дней со дня  </w:t>
      </w:r>
      <w:r w:rsidRPr="004C3FB4">
        <w:rPr>
          <w:bCs/>
          <w:color w:val="000000"/>
        </w:rPr>
        <w:t>получения Исполнителем списков граждан, получивших направления</w:t>
      </w:r>
      <w:r w:rsidRPr="004C3FB4">
        <w:rPr>
          <w:color w:val="000000"/>
        </w:rPr>
        <w:t xml:space="preserve">. Получатель передает Исполнителю </w:t>
      </w:r>
      <w:proofErr w:type="gramStart"/>
      <w:r w:rsidRPr="004C3FB4">
        <w:rPr>
          <w:color w:val="000000"/>
        </w:rPr>
        <w:t>Направление</w:t>
      </w:r>
      <w:proofErr w:type="gramEnd"/>
      <w:r w:rsidRPr="004C3FB4">
        <w:rPr>
          <w:color w:val="000000"/>
        </w:rPr>
        <w:t xml:space="preserve"> полученное им от Заказчика при оформлении заказа на выполнение работ по обеспечению Изделием.</w:t>
      </w:r>
      <w:r w:rsidRPr="004C3FB4">
        <w:rPr/>
        <w:t xml:space="preserve"> </w:t>
      </w:r>
    </w:p>
    <w:p w:rsidR="004C3FB4" w:rsidRPr="004C3FB4" w:rsidRDefault="004C3FB4" w:rsidP="004C3FB4">
      <w:pPr>
        <w:keepNext/>
        <w:ind w:firstLine="709"/>
        <w:jc w:val="both"/>
      </w:pPr>
      <w:r w:rsidRPr="004C3FB4">
        <w:rPr>
          <w:rStyle w:val="FontStyle11"/>
          <w:rFonts w:ascii="Times New Roman" w:hAnsi="Times New Roman" w:cs="Times New Roman"/>
          <w:sz w:val="24"/>
          <w:szCs w:val="24"/>
        </w:rPr>
        <w:t>Окончание исполнения (месяц, год):</w:t>
      </w:r>
      <w:r w:rsidRPr="004C3FB4">
        <w:rPr>
          <w:color w:val="000000"/>
        </w:rPr>
        <w:t xml:space="preserve"> до 10.09.2024</w:t>
      </w:r>
      <w:bookmarkStart w:id="0" w:name="_GoBack"/>
      <w:bookmarkEnd w:id="0"/>
    </w:p>
    <w:p w:rsidR="004C3FB4" w:rsidRPr="004C3FB4" w:rsidRDefault="004C3FB4" w:rsidP="004C3FB4"/>
    <w:p w:rsidR="004C3FB4" w:rsidRPr="004C3FB4" w:rsidRDefault="004C3FB4" w:rsidP="00863502">
      <w:pPr>
        <w:widowControl w:val="0"/>
        <w:tabs>
          <w:tab w:val="left" w:pos="729"/>
          <w:tab w:val="left" w:pos="3555"/>
        </w:tabs>
        <w:suppressAutoHyphens/>
        <w:ind w:firstLine="851"/>
        <w:jc w:val="both"/>
        <w:rPr>
          <w:rFonts w:eastAsia="Lucida Sans Unicode"/>
          <w:kern w:val="2"/>
          <w:lang w:val="en-US"/>
        </w:rPr>
      </w:pPr>
    </w:p>
    <w:p w:rsidR="00707979" w:rsidRPr="001E7951" w:rsidRDefault="00707979"/>
    <w:sectPr w:rsidR="00707979" w:rsidRPr="001E7951" w:rsidSect="009960E3">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02"/>
    <w:rsid w:val="00013C6F"/>
    <w:rsid w:val="00154888"/>
    <w:rsid w:val="001E7951"/>
    <w:rsid w:val="004C3FB4"/>
    <w:rsid w:val="00707979"/>
    <w:rsid w:val="007252B4"/>
    <w:rsid w:val="007C54C1"/>
    <w:rsid w:val="00837056"/>
    <w:rsid w:val="00863502"/>
    <w:rsid w:val="008B0B4A"/>
    <w:rsid w:val="00946E4E"/>
    <w:rsid w:val="00972687"/>
    <w:rsid w:val="00992B81"/>
    <w:rsid w:val="009960E3"/>
    <w:rsid w:val="00A945C7"/>
    <w:rsid w:val="00D1121D"/>
    <w:rsid w:val="00D40001"/>
    <w:rsid w:val="00EB663A"/>
    <w:rsid w:val="00FC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5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6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63502"/>
    <w:rPr>
      <w:rFonts w:ascii="Courier New" w:eastAsia="Times New Roman" w:hAnsi="Courier New" w:cs="Courier New"/>
      <w:sz w:val="20"/>
      <w:szCs w:val="20"/>
      <w:lang w:eastAsia="ru-RU"/>
    </w:rPr>
  </w:style>
  <w:style w:type="paragraph" w:customStyle="1" w:styleId="a3">
    <w:name w:val="Содержимое таблицы"/>
    <w:basedOn w:val="a"/>
    <w:rsid w:val="007C54C1"/>
    <w:pPr>
      <w:widowControl w:val="0"/>
      <w:suppressLineNumbers/>
      <w:suppressAutoHyphens/>
    </w:pPr>
    <w:rPr>
      <w:rFonts w:eastAsia="Arial Unicode MS" w:cs="Tahoma"/>
      <w:color w:val="000000"/>
      <w:kern w:val="2"/>
      <w:lang w:val="en-US" w:eastAsia="hi-IN" w:bidi="hi-IN"/>
    </w:rPr>
  </w:style>
  <w:style w:type="character" w:customStyle="1" w:styleId="FontStyle11">
    <w:name w:val="Font Style11"/>
    <w:uiPriority w:val="99"/>
    <w:rsid w:val="004C3FB4"/>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5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6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63502"/>
    <w:rPr>
      <w:rFonts w:ascii="Courier New" w:eastAsia="Times New Roman" w:hAnsi="Courier New" w:cs="Courier New"/>
      <w:sz w:val="20"/>
      <w:szCs w:val="20"/>
      <w:lang w:eastAsia="ru-RU"/>
    </w:rPr>
  </w:style>
  <w:style w:type="paragraph" w:customStyle="1" w:styleId="a3">
    <w:name w:val="Содержимое таблицы"/>
    <w:basedOn w:val="a"/>
    <w:rsid w:val="007C54C1"/>
    <w:pPr>
      <w:widowControl w:val="0"/>
      <w:suppressLineNumbers/>
      <w:suppressAutoHyphens/>
    </w:pPr>
    <w:rPr>
      <w:rFonts w:eastAsia="Arial Unicode MS" w:cs="Tahoma"/>
      <w:color w:val="000000"/>
      <w:kern w:val="2"/>
      <w:lang w:val="en-US" w:eastAsia="hi-IN" w:bidi="hi-IN"/>
    </w:rPr>
  </w:style>
  <w:style w:type="character" w:customStyle="1" w:styleId="FontStyle11">
    <w:name w:val="Font Style11"/>
    <w:uiPriority w:val="99"/>
    <w:rsid w:val="004C3FB4"/>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Алекс</cp:lastModifiedBy>
  <cp:revision>14</cp:revision>
  <dcterms:created xsi:type="dcterms:W3CDTF">2021-06-28T07:16:00Z</dcterms:created>
  <dcterms:modified xsi:type="dcterms:W3CDTF">2023-10-08T20:22:00Z</dcterms:modified>
</cp:coreProperties>
</file>