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14" w:rsidRPr="00367387" w:rsidRDefault="00B94EE8" w:rsidP="00190114">
      <w:pPr>
        <w:widowControl w:val="0"/>
        <w:jc w:val="center"/>
        <w:rPr>
          <w:b/>
        </w:rPr>
      </w:pPr>
      <w:r>
        <w:rPr>
          <w:b/>
        </w:rPr>
        <w:t xml:space="preserve">Описание объекта закупки </w:t>
      </w:r>
    </w:p>
    <w:p w:rsidR="00190114" w:rsidRPr="00B47CC6" w:rsidRDefault="00190114" w:rsidP="00190114">
      <w:pPr>
        <w:widowControl w:val="0"/>
        <w:jc w:val="center"/>
        <w:rPr>
          <w:b/>
          <w:bCs/>
        </w:rPr>
      </w:pPr>
      <w:r w:rsidRPr="00B47CC6">
        <w:t>Поставка технических средств реабилитации –</w:t>
      </w:r>
      <w:r>
        <w:t xml:space="preserve"> электронный ручной </w:t>
      </w:r>
      <w:proofErr w:type="spellStart"/>
      <w:r>
        <w:t>видеоувеличитель</w:t>
      </w:r>
      <w:proofErr w:type="spellEnd"/>
      <w:r>
        <w:t xml:space="preserve"> (в комплекте с телевизионным дисплеем) </w:t>
      </w:r>
      <w:r w:rsidR="002E7E4E">
        <w:t xml:space="preserve">для обеспечения </w:t>
      </w:r>
      <w:r w:rsidRPr="00B47CC6">
        <w:t>в 202</w:t>
      </w:r>
      <w:r w:rsidR="002E7E4E">
        <w:t>4</w:t>
      </w:r>
      <w:r w:rsidRPr="00B47CC6">
        <w:t xml:space="preserve"> г.</w:t>
      </w:r>
    </w:p>
    <w:p w:rsidR="00190114" w:rsidRPr="00B47CC6" w:rsidRDefault="00190114" w:rsidP="00190114">
      <w:pPr>
        <w:pStyle w:val="ae"/>
        <w:snapToGrid w:val="0"/>
        <w:rPr>
          <w:color w:val="000000"/>
          <w:sz w:val="24"/>
          <w:szCs w:val="24"/>
        </w:rPr>
      </w:pPr>
      <w:r w:rsidRPr="00B47CC6">
        <w:rPr>
          <w:b/>
          <w:sz w:val="24"/>
          <w:szCs w:val="24"/>
        </w:rPr>
        <w:t>1. Количество поставляемых товаров</w:t>
      </w:r>
      <w:r w:rsidRPr="00B47CC6">
        <w:rPr>
          <w:color w:val="000000"/>
          <w:sz w:val="24"/>
          <w:szCs w:val="24"/>
        </w:rPr>
        <w:t xml:space="preserve">: </w:t>
      </w:r>
      <w:r w:rsidR="002E7E4E">
        <w:rPr>
          <w:color w:val="000000"/>
          <w:sz w:val="24"/>
          <w:szCs w:val="24"/>
        </w:rPr>
        <w:t>60</w:t>
      </w:r>
      <w:r w:rsidRPr="00B47CC6">
        <w:rPr>
          <w:color w:val="000000"/>
          <w:sz w:val="24"/>
          <w:szCs w:val="24"/>
        </w:rPr>
        <w:t xml:space="preserve"> штук.</w:t>
      </w:r>
    </w:p>
    <w:p w:rsidR="00190114" w:rsidRPr="00B47CC6" w:rsidRDefault="00190114" w:rsidP="00190114">
      <w:pPr>
        <w:keepNext/>
        <w:widowControl w:val="0"/>
        <w:rPr>
          <w:color w:val="000000"/>
        </w:rPr>
      </w:pPr>
      <w:r w:rsidRPr="00B47CC6">
        <w:rPr>
          <w:b/>
        </w:rPr>
        <w:t xml:space="preserve">2. Место поставки: </w:t>
      </w:r>
      <w:r w:rsidRPr="00B47CC6">
        <w:rPr>
          <w:color w:val="000000"/>
        </w:rPr>
        <w:t>территория Республика Дагестан, по месту жительства, по месту пребывания инвалида</w:t>
      </w:r>
    </w:p>
    <w:tbl>
      <w:tblPr>
        <w:tblW w:w="9806" w:type="dxa"/>
        <w:tblInd w:w="-30" w:type="dxa"/>
        <w:tblLook w:val="00A0" w:firstRow="1" w:lastRow="0" w:firstColumn="1" w:lastColumn="0" w:noHBand="0" w:noVBand="0"/>
      </w:tblPr>
      <w:tblGrid>
        <w:gridCol w:w="2085"/>
        <w:gridCol w:w="7721"/>
      </w:tblGrid>
      <w:tr w:rsidR="00190114" w:rsidRPr="009A07F9" w:rsidTr="00FB620A">
        <w:trPr>
          <w:trHeight w:val="5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114" w:rsidRPr="009A07F9" w:rsidRDefault="00190114" w:rsidP="00FB620A">
            <w:pPr>
              <w:tabs>
                <w:tab w:val="left" w:pos="708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A07F9">
              <w:t>Наименование изделия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14" w:rsidRPr="009A07F9" w:rsidRDefault="00190114" w:rsidP="00FB620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A07F9">
              <w:t>Функциональные и технические характеристики/ требования</w:t>
            </w:r>
          </w:p>
        </w:tc>
      </w:tr>
      <w:tr w:rsidR="00190114" w:rsidRPr="009A07F9" w:rsidTr="00FB620A">
        <w:trPr>
          <w:trHeight w:val="7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114" w:rsidRPr="009A07F9" w:rsidRDefault="00190114" w:rsidP="00FB620A">
            <w:pPr>
              <w:tabs>
                <w:tab w:val="left" w:pos="708"/>
              </w:tabs>
              <w:suppressAutoHyphens/>
              <w:jc w:val="both"/>
              <w:rPr>
                <w:lang w:eastAsia="ar-SA"/>
              </w:rPr>
            </w:pPr>
            <w:r>
              <w:t xml:space="preserve">электронный ручной </w:t>
            </w:r>
            <w:proofErr w:type="spellStart"/>
            <w:r>
              <w:t>видеоувеличитель</w:t>
            </w:r>
            <w:proofErr w:type="spellEnd"/>
            <w:r>
              <w:t xml:space="preserve"> </w:t>
            </w:r>
            <w:r w:rsidRPr="00796217">
              <w:t>(</w:t>
            </w:r>
            <w:r>
              <w:t>в комплекте с телевизионным дисплеем</w:t>
            </w:r>
            <w:r>
              <w:rPr>
                <w:b/>
                <w:iCs/>
                <w:szCs w:val="26"/>
              </w:rPr>
              <w:t>)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14" w:rsidRPr="009A07F9" w:rsidRDefault="00190114" w:rsidP="00FB620A">
            <w:pPr>
              <w:pStyle w:val="a5"/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Электронный ручной </w:t>
            </w:r>
            <w:proofErr w:type="spellStart"/>
            <w:r>
              <w:t>видеоувеличитель</w:t>
            </w:r>
            <w:proofErr w:type="spellEnd"/>
            <w:r>
              <w:t xml:space="preserve"> со встроенным дисплеем (ЭРВУ) должен быть предназначен для чтения плоскопечатного текста и рассматривания удаленных объектов лицами с остротой зрения 0,03 -0,1.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Прибор должен иметь следующие технические характеристики и режимы: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рассматривание удалё</w:t>
            </w:r>
            <w:r w:rsidR="003D36BB">
              <w:t xml:space="preserve">нных объектов на расстоянии до 10 </w:t>
            </w:r>
            <w:r>
              <w:t>м</w:t>
            </w:r>
            <w:r w:rsidR="003D36BB">
              <w:t>етров</w:t>
            </w:r>
            <w:r>
              <w:t xml:space="preserve"> включительно;</w:t>
            </w:r>
            <w:bookmarkStart w:id="0" w:name="_GoBack"/>
            <w:bookmarkEnd w:id="0"/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наличие встроенного цветного высококонтрастного дисплея с размером по диагонали не менее 4,3 дюйма;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регулировка увеличения изображения в пределах 7-14 крат;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наличие не менее 9 режимов отображения: полноцветный и черно-белый естественной контрастности, высококонтрастные режимы для чтения текста (черный на белом фоне, белый на черном, желтый на синем, желтый на черном, красный на белом, синий на белом, синий на желтом).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ЭРВУ должен обеспечивать во всех режимах высокое качество изображения без видимых цветовых, геометрических искажений и оптических помех по всему полю дисплея в том числе с цветных глянцевых поверхностей, а также: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режим фиксации изображения на дисплее; 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режим записи изображения в память на флэш-карту;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режим просмотра изображений, записанных на флэш-карте с функцией перемещения изображений в горизонтальном и вертикальном направлениях (скроллинг); 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режим преобразования плоскопечатного текста в речь при помощи синтезатора речи, соответствующего высшему классу качеству ГОСТ Р50840-95 п. 8.4;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режим записи и воспроизведения звукового комментария для каждого записанного изображения. Длительность каждого звукового комментария - не менее 30 сек.;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режим настройки яркости изображения и громкости звуковых сигналов; 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режим автоматической фокусировки изображения.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Обновление внутреннего программного обеспечения аппарата должно производиться в автономном режиме из файлов, записанных на флэш-карте,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Включение, выключение, а также переключение режимов работы должно подтверждаться звуковыми сигналами и речевыми сообщениями.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Флэш-карта в рабочем состоянии должна выступать за пределы корпуса на расстояние 1 - 2 мм. 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Все органы управления ЭРВУ должны по цвету и тактильным обозначениям отличаться друг от друга, тактильные обозначения </w:t>
            </w:r>
            <w:r>
              <w:lastRenderedPageBreak/>
              <w:t>должны быть выпуклыми, четко различимыми и контрастными по цвету.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Питание от сети переменного тока при помощи сетевого адаптера и от встроенного аккумулятора или батареи. 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Время непрерывной работы от встроенного аккумулятора или батареи не менее 2-х часов.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Наличие светодиодного индикатора заряда батареи.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Наличие разъемов: для подключения сетевого адаптера, выход на наушники и внешнюю акустическую систему, слот для флэш-карты. Габаритные размеры не более 150 х 95 х 40 (мм).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Вес (без сетевого адаптера) не более 300 грамм. </w:t>
            </w:r>
            <w:r w:rsidRPr="001A358A">
              <w:t xml:space="preserve">                          </w:t>
            </w:r>
            <w:r>
              <w:t xml:space="preserve">Комплект поставки: 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электронный ручной видео-увеличитель со встроенным дисплеем;</w:t>
            </w:r>
          </w:p>
          <w:p w:rsidR="001A358A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плоскопечатное (крупным шрифтом) и звуковое (на флэш-карте) руководства по эксплуатации;</w:t>
            </w:r>
          </w:p>
          <w:p w:rsidR="00190114" w:rsidRPr="001A358A" w:rsidRDefault="001A358A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- флэш-карта не менее 2 </w:t>
            </w:r>
            <w:proofErr w:type="spellStart"/>
            <w:r>
              <w:t>Gb</w:t>
            </w:r>
            <w:proofErr w:type="spellEnd"/>
            <w:r>
              <w:t>;</w:t>
            </w:r>
          </w:p>
          <w:p w:rsidR="001A358A" w:rsidRPr="001A358A" w:rsidRDefault="00512783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г</w:t>
            </w:r>
            <w:r w:rsidR="001A358A">
              <w:t>оловной телефон (наушники);</w:t>
            </w:r>
          </w:p>
          <w:p w:rsidR="001A358A" w:rsidRPr="001A358A" w:rsidRDefault="00512783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с</w:t>
            </w:r>
            <w:r w:rsidR="001A358A">
              <w:t>етевой адаптер;</w:t>
            </w:r>
          </w:p>
          <w:p w:rsidR="001A358A" w:rsidRPr="001A358A" w:rsidRDefault="00512783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с</w:t>
            </w:r>
            <w:r w:rsidR="001A358A">
              <w:t>умка с ремнем для переноски;</w:t>
            </w:r>
          </w:p>
          <w:p w:rsidR="001A358A" w:rsidRPr="009A07F9" w:rsidRDefault="00512783" w:rsidP="001A358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у</w:t>
            </w:r>
            <w:r w:rsidR="001A358A">
              <w:t>паковочная коробка.</w:t>
            </w:r>
          </w:p>
        </w:tc>
      </w:tr>
    </w:tbl>
    <w:p w:rsidR="00190114" w:rsidRPr="00190114" w:rsidRDefault="00190114" w:rsidP="00190114">
      <w:r w:rsidRPr="00190114">
        <w:rPr>
          <w:rFonts w:eastAsia="Lucida Sans Unicode" w:cs="Mangal"/>
          <w:b/>
          <w:bCs/>
          <w:kern w:val="2"/>
          <w:sz w:val="26"/>
          <w:szCs w:val="26"/>
          <w:lang w:eastAsia="hi-IN" w:bidi="hi-IN"/>
        </w:rPr>
        <w:lastRenderedPageBreak/>
        <w:t xml:space="preserve"> </w:t>
      </w:r>
    </w:p>
    <w:p w:rsidR="007C0B07" w:rsidRDefault="007C0B07" w:rsidP="001901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сроку и (или) объему предоставленных гарантий качества товара:</w:t>
      </w:r>
    </w:p>
    <w:p w:rsidR="007C0B07" w:rsidRPr="001406B0" w:rsidRDefault="007C0B07" w:rsidP="007C0B07">
      <w:pPr>
        <w:ind w:firstLine="709"/>
        <w:jc w:val="both"/>
      </w:pPr>
    </w:p>
    <w:p w:rsidR="007C0B07" w:rsidRDefault="007C0B07" w:rsidP="007C0B07">
      <w:pPr>
        <w:jc w:val="both"/>
      </w:pPr>
      <w:r>
        <w:t xml:space="preserve">         Гарантийный срок эксплуатации должен быть не менее 12 месяцев со дня подписания Акта сдачи-приемки товара Получателем. Срок гарантийного р</w:t>
      </w:r>
      <w:r w:rsidR="0061203E">
        <w:t>емонта со дня обращения Получателя</w:t>
      </w:r>
      <w:r>
        <w:t xml:space="preserve"> не должен превышать 20 рабочих дней.  </w:t>
      </w:r>
    </w:p>
    <w:p w:rsidR="007C0B07" w:rsidRDefault="007C0B07" w:rsidP="007C0B07">
      <w:pPr>
        <w:jc w:val="both"/>
      </w:pPr>
      <w:r>
        <w:t xml:space="preserve">    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5C602A" w:rsidRPr="005C602A" w:rsidRDefault="007C0B07" w:rsidP="007C0B07">
      <w:pPr>
        <w:jc w:val="both"/>
      </w:pPr>
      <w:r>
        <w:t xml:space="preserve">    Обязательно указание адресов специализированных мастерских, на территории Махачкалы и других городов Республики, в которые следует обращаться для гарантийного ремонта изделия или устранения</w:t>
      </w:r>
      <w:r w:rsidRPr="00807F3E">
        <w:t xml:space="preserve"> </w:t>
      </w:r>
      <w:r>
        <w:t xml:space="preserve">неисправностей.  </w:t>
      </w:r>
    </w:p>
    <w:p w:rsidR="005C602A" w:rsidRPr="00ED4CD8" w:rsidRDefault="007C0B07" w:rsidP="005C602A">
      <w:pPr>
        <w:tabs>
          <w:tab w:val="left" w:pos="708"/>
        </w:tabs>
        <w:jc w:val="both"/>
        <w:rPr>
          <w:b/>
          <w:bCs/>
          <w:i/>
          <w:iCs/>
        </w:rPr>
      </w:pPr>
      <w:r>
        <w:rPr>
          <w:b/>
          <w:bCs/>
        </w:rPr>
        <w:t xml:space="preserve"> </w:t>
      </w:r>
    </w:p>
    <w:tbl>
      <w:tblPr>
        <w:tblW w:w="9468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1"/>
        <w:gridCol w:w="7947"/>
      </w:tblGrid>
      <w:tr w:rsidR="005C602A" w:rsidRPr="00ED4CD8" w:rsidTr="00B01E4E">
        <w:trPr>
          <w:trHeight w:val="42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02A" w:rsidRPr="00ED4CD8" w:rsidRDefault="005C602A" w:rsidP="00B01E4E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lang w:eastAsia="fa-IR" w:bidi="fa-IR"/>
              </w:rPr>
            </w:pPr>
            <w:r w:rsidRPr="00ED4CD8">
              <w:rPr>
                <w:rFonts w:eastAsia="Andale Sans UI"/>
                <w:b/>
                <w:lang w:eastAsia="fa-IR" w:bidi="fa-IR"/>
              </w:rPr>
              <w:t>Срок поставки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02A" w:rsidRPr="00ED4CD8" w:rsidRDefault="005C602A" w:rsidP="002E7E4E">
            <w:pPr>
              <w:pStyle w:val="a6"/>
              <w:tabs>
                <w:tab w:val="left" w:pos="0"/>
              </w:tabs>
              <w:rPr>
                <w:u w:val="single"/>
              </w:rPr>
            </w:pPr>
            <w:r w:rsidRPr="00ED4CD8">
              <w:t xml:space="preserve">100 % поставка Товара в г. Махачкала осуществляется </w:t>
            </w:r>
            <w:r w:rsidR="008C604F">
              <w:t>не позднее 20 января 202</w:t>
            </w:r>
            <w:r w:rsidR="008C604F" w:rsidRPr="008C604F">
              <w:t>4</w:t>
            </w:r>
            <w:r w:rsidR="007623B9">
              <w:t>г</w:t>
            </w:r>
            <w:r w:rsidR="002E7E4E" w:rsidRPr="002E7E4E">
              <w:t>.</w:t>
            </w:r>
            <w:r w:rsidR="00352128">
              <w:t xml:space="preserve"> </w:t>
            </w:r>
            <w:r w:rsidRPr="00ED4CD8">
              <w:t>Поставка Товара Получателям не должна превышать 30 (тридцати) календарных дней, а в отношени</w:t>
            </w:r>
            <w:r w:rsidR="00352128">
              <w:t>и Получателей</w:t>
            </w:r>
            <w:r w:rsidRPr="00ED4CD8">
              <w:t>, нуждающихся в оказании паллиативной медицинской помощи, 7 (семи) календарных дней со дня получения Поставщиком реестра получателей Товара.</w:t>
            </w:r>
          </w:p>
        </w:tc>
      </w:tr>
      <w:tr w:rsidR="005C602A" w:rsidRPr="00ED4CD8" w:rsidTr="00B01E4E">
        <w:trPr>
          <w:trHeight w:val="49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02A" w:rsidRPr="00ED4CD8" w:rsidRDefault="005C602A" w:rsidP="00B01E4E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lang w:eastAsia="fa-IR" w:bidi="fa-IR"/>
              </w:rPr>
            </w:pPr>
            <w:r w:rsidRPr="00ED4CD8">
              <w:rPr>
                <w:rFonts w:eastAsia="Andale Sans UI"/>
                <w:b/>
                <w:lang w:eastAsia="fa-IR" w:bidi="fa-IR"/>
              </w:rPr>
              <w:t>Место поставки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02A" w:rsidRPr="00ED4CD8" w:rsidRDefault="005C602A" w:rsidP="00B01E4E">
            <w:pPr>
              <w:snapToGrid w:val="0"/>
              <w:spacing w:line="100" w:lineRule="atLeast"/>
              <w:jc w:val="both"/>
              <w:textAlignment w:val="baseline"/>
              <w:rPr>
                <w:rFonts w:eastAsia="Andale Sans UI"/>
                <w:lang w:eastAsia="fa-IR" w:bidi="fa-IR"/>
              </w:rPr>
            </w:pPr>
            <w:r w:rsidRPr="00ED4CD8">
              <w:rPr>
                <w:rFonts w:eastAsia="Arial"/>
                <w:bCs/>
                <w:iCs/>
                <w:spacing w:val="-2"/>
                <w:lang w:eastAsia="fa-IR" w:bidi="fa-IR"/>
              </w:rPr>
              <w:t xml:space="preserve">Республика Дагестан: г. Махачкала. </w:t>
            </w:r>
            <w:r w:rsidRPr="00ED4CD8">
              <w:rPr>
                <w:rFonts w:eastAsia="Arial"/>
                <w:iCs/>
                <w:spacing w:val="-2"/>
                <w:lang w:eastAsia="fa-IR" w:bidi="fa-IR"/>
              </w:rPr>
              <w:t xml:space="preserve">При наличии направлений Фонда доставка производится </w:t>
            </w:r>
            <w:r w:rsidR="00352128">
              <w:rPr>
                <w:rFonts w:eastAsia="Arial"/>
                <w:bCs/>
                <w:iCs/>
                <w:spacing w:val="-2"/>
                <w:lang w:eastAsia="fa-IR" w:bidi="fa-IR"/>
              </w:rPr>
              <w:t>по месту жительства Получателя</w:t>
            </w:r>
            <w:r w:rsidRPr="00ED4CD8">
              <w:rPr>
                <w:rFonts w:eastAsia="Arial"/>
                <w:bCs/>
                <w:iCs/>
                <w:spacing w:val="-2"/>
                <w:lang w:eastAsia="fa-IR" w:bidi="fa-IR"/>
              </w:rPr>
              <w:t>.</w:t>
            </w:r>
          </w:p>
        </w:tc>
      </w:tr>
    </w:tbl>
    <w:p w:rsidR="005C602A" w:rsidRPr="00ED4CD8" w:rsidRDefault="005C602A" w:rsidP="005C602A">
      <w:pPr>
        <w:jc w:val="both"/>
      </w:pPr>
    </w:p>
    <w:p w:rsidR="00856205" w:rsidRDefault="00856205" w:rsidP="00856205">
      <w:pPr>
        <w:ind w:firstLine="709"/>
        <w:jc w:val="both"/>
        <w:rPr>
          <w:b/>
          <w:sz w:val="22"/>
          <w:szCs w:val="22"/>
        </w:rPr>
      </w:pPr>
    </w:p>
    <w:sectPr w:rsidR="0085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12D4C"/>
    <w:multiLevelType w:val="hybridMultilevel"/>
    <w:tmpl w:val="EF3A07C0"/>
    <w:lvl w:ilvl="0" w:tplc="499A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05"/>
    <w:rsid w:val="00005B52"/>
    <w:rsid w:val="000114C5"/>
    <w:rsid w:val="0004275E"/>
    <w:rsid w:val="00080FAB"/>
    <w:rsid w:val="00081D16"/>
    <w:rsid w:val="00087AA6"/>
    <w:rsid w:val="0010279D"/>
    <w:rsid w:val="00154CA0"/>
    <w:rsid w:val="00190114"/>
    <w:rsid w:val="001A358A"/>
    <w:rsid w:val="001B1FBA"/>
    <w:rsid w:val="001C7F04"/>
    <w:rsid w:val="00231F84"/>
    <w:rsid w:val="002A63FB"/>
    <w:rsid w:val="002E7E4E"/>
    <w:rsid w:val="00347C11"/>
    <w:rsid w:val="00352128"/>
    <w:rsid w:val="0036210E"/>
    <w:rsid w:val="003668AA"/>
    <w:rsid w:val="00372BC8"/>
    <w:rsid w:val="0039112A"/>
    <w:rsid w:val="003A5E7B"/>
    <w:rsid w:val="003C0675"/>
    <w:rsid w:val="003D36BB"/>
    <w:rsid w:val="003E1E03"/>
    <w:rsid w:val="003F6D0D"/>
    <w:rsid w:val="004013BF"/>
    <w:rsid w:val="004236E9"/>
    <w:rsid w:val="00444A20"/>
    <w:rsid w:val="004B1816"/>
    <w:rsid w:val="00512783"/>
    <w:rsid w:val="00534AF1"/>
    <w:rsid w:val="005353FA"/>
    <w:rsid w:val="005C26E6"/>
    <w:rsid w:val="005C36D3"/>
    <w:rsid w:val="005C602A"/>
    <w:rsid w:val="005E2D2E"/>
    <w:rsid w:val="00603366"/>
    <w:rsid w:val="0061203E"/>
    <w:rsid w:val="00613162"/>
    <w:rsid w:val="00633528"/>
    <w:rsid w:val="006527EE"/>
    <w:rsid w:val="0066670A"/>
    <w:rsid w:val="00690E0C"/>
    <w:rsid w:val="006B1C02"/>
    <w:rsid w:val="006D05FD"/>
    <w:rsid w:val="006D3FD1"/>
    <w:rsid w:val="007608F0"/>
    <w:rsid w:val="007623B9"/>
    <w:rsid w:val="00782DEE"/>
    <w:rsid w:val="00783EC3"/>
    <w:rsid w:val="007910BF"/>
    <w:rsid w:val="007B43BA"/>
    <w:rsid w:val="007C0B07"/>
    <w:rsid w:val="007C4A16"/>
    <w:rsid w:val="00853601"/>
    <w:rsid w:val="00856205"/>
    <w:rsid w:val="00882535"/>
    <w:rsid w:val="008B5FF1"/>
    <w:rsid w:val="008C604F"/>
    <w:rsid w:val="008D0F93"/>
    <w:rsid w:val="00910BC9"/>
    <w:rsid w:val="0092649F"/>
    <w:rsid w:val="00950F51"/>
    <w:rsid w:val="00960193"/>
    <w:rsid w:val="00984334"/>
    <w:rsid w:val="009A07F9"/>
    <w:rsid w:val="00A852F5"/>
    <w:rsid w:val="00AB7A51"/>
    <w:rsid w:val="00AD7F53"/>
    <w:rsid w:val="00B061C2"/>
    <w:rsid w:val="00B07546"/>
    <w:rsid w:val="00B94EE8"/>
    <w:rsid w:val="00BE0EF8"/>
    <w:rsid w:val="00C153F9"/>
    <w:rsid w:val="00C24471"/>
    <w:rsid w:val="00C3482F"/>
    <w:rsid w:val="00CC0E40"/>
    <w:rsid w:val="00CE3177"/>
    <w:rsid w:val="00CE6232"/>
    <w:rsid w:val="00CF1FF2"/>
    <w:rsid w:val="00CF4A8D"/>
    <w:rsid w:val="00D07E84"/>
    <w:rsid w:val="00D33747"/>
    <w:rsid w:val="00D36ABE"/>
    <w:rsid w:val="00D61827"/>
    <w:rsid w:val="00D76768"/>
    <w:rsid w:val="00D8652F"/>
    <w:rsid w:val="00DC7A93"/>
    <w:rsid w:val="00DE675C"/>
    <w:rsid w:val="00E07E0E"/>
    <w:rsid w:val="00EC15E4"/>
    <w:rsid w:val="00F34645"/>
    <w:rsid w:val="00F85FF3"/>
    <w:rsid w:val="00FA6CCF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D6F4-45C5-48EC-BD45-5E7B0837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205"/>
    <w:pPr>
      <w:jc w:val="both"/>
    </w:pPr>
    <w:rPr>
      <w:sz w:val="28"/>
      <w:szCs w:val="20"/>
    </w:rPr>
  </w:style>
  <w:style w:type="paragraph" w:customStyle="1" w:styleId="Style7">
    <w:name w:val="Style7"/>
    <w:basedOn w:val="a"/>
    <w:next w:val="a"/>
    <w:rsid w:val="00856205"/>
    <w:pPr>
      <w:suppressAutoHyphens/>
      <w:spacing w:line="278" w:lineRule="exact"/>
    </w:pPr>
    <w:rPr>
      <w:lang w:eastAsia="ar-SA"/>
    </w:rPr>
  </w:style>
  <w:style w:type="paragraph" w:customStyle="1" w:styleId="a5">
    <w:name w:val="Текст в заданном формате"/>
    <w:basedOn w:val="a"/>
    <w:rsid w:val="00856205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FontStyle16">
    <w:name w:val="Font Style16"/>
    <w:rsid w:val="00856205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rsid w:val="001C7F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1C7F04"/>
    <w:rPr>
      <w:sz w:val="24"/>
      <w:szCs w:val="24"/>
    </w:rPr>
  </w:style>
  <w:style w:type="paragraph" w:customStyle="1" w:styleId="ConsPlusNormal">
    <w:name w:val="ConsPlusNormal"/>
    <w:rsid w:val="001C7F0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Hyperlink"/>
    <w:rsid w:val="00AD7F53"/>
    <w:rPr>
      <w:color w:val="0563C1"/>
      <w:u w:val="single"/>
    </w:rPr>
  </w:style>
  <w:style w:type="paragraph" w:styleId="a9">
    <w:name w:val="Balloon Text"/>
    <w:basedOn w:val="a"/>
    <w:link w:val="aa"/>
    <w:rsid w:val="005C36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C36D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6B1C02"/>
    <w:rPr>
      <w:sz w:val="28"/>
    </w:rPr>
  </w:style>
  <w:style w:type="paragraph" w:styleId="ab">
    <w:name w:val="Subtitle"/>
    <w:basedOn w:val="a"/>
    <w:next w:val="a3"/>
    <w:link w:val="ac"/>
    <w:qFormat/>
    <w:rsid w:val="00005B52"/>
    <w:pPr>
      <w:keepNext/>
      <w:widowControl w:val="0"/>
      <w:tabs>
        <w:tab w:val="left" w:pos="0"/>
      </w:tabs>
      <w:suppressAutoHyphens/>
      <w:jc w:val="right"/>
    </w:pPr>
    <w:rPr>
      <w:i/>
      <w:iCs/>
      <w:sz w:val="26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005B52"/>
    <w:rPr>
      <w:i/>
      <w:iCs/>
      <w:sz w:val="26"/>
      <w:lang w:eastAsia="ar-SA"/>
    </w:rPr>
  </w:style>
  <w:style w:type="paragraph" w:styleId="ad">
    <w:name w:val="List Paragraph"/>
    <w:basedOn w:val="a"/>
    <w:uiPriority w:val="34"/>
    <w:qFormat/>
    <w:rsid w:val="009A07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Содержимое таблицы"/>
    <w:basedOn w:val="a"/>
    <w:rsid w:val="00190114"/>
    <w:pPr>
      <w:suppressLineNumbers/>
      <w:suppressAutoHyphens/>
    </w:pPr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535C-0EAB-4C76-8A97-EBFD7296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разработке технических заданий на поставку в 2015 году специальных устройств для чтения «говорящих книг» на флеш-картах (базовых тифлофлешплееров)</vt:lpstr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разработке технических заданий на поставку в 2015 году специальных устройств для чтения «говорящих книг» на флеш-картах (базовых тифлофлешплееров)</dc:title>
  <dc:subject/>
  <dc:creator>Курбанова Динара Саибкамаловна</dc:creator>
  <cp:keywords/>
  <dc:description/>
  <cp:lastModifiedBy>Абдурахманова Аида Омарасхабовна</cp:lastModifiedBy>
  <cp:revision>3</cp:revision>
  <cp:lastPrinted>2023-10-13T10:44:00Z</cp:lastPrinted>
  <dcterms:created xsi:type="dcterms:W3CDTF">2023-10-13T10:44:00Z</dcterms:created>
  <dcterms:modified xsi:type="dcterms:W3CDTF">2023-10-17T07:36:00Z</dcterms:modified>
</cp:coreProperties>
</file>