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75500E">
        <w:rPr>
          <w:rFonts w:eastAsia="Arial" w:cs="Arial"/>
          <w:b/>
          <w:sz w:val="26"/>
          <w:szCs w:val="26"/>
        </w:rPr>
        <w:t>казание в 2022</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F2060F" w:rsidRPr="00A46EAB" w:rsidRDefault="00F2060F" w:rsidP="00F2060F">
      <w:pPr>
        <w:keepNext/>
        <w:widowControl w:val="0"/>
        <w:overflowPunct w:val="0"/>
        <w:autoSpaceDE w:val="0"/>
        <w:spacing w:line="360" w:lineRule="exact"/>
        <w:contextualSpacing/>
        <w:jc w:val="both"/>
        <w:textAlignment w:val="baseline"/>
        <w:rPr>
          <w:color w:val="000000"/>
          <w:spacing w:val="-4"/>
          <w:sz w:val="26"/>
          <w:szCs w:val="26"/>
        </w:rPr>
      </w:pPr>
      <w:r>
        <w:rPr>
          <w:b/>
          <w:color w:val="000000"/>
          <w:spacing w:val="-4"/>
          <w:sz w:val="26"/>
          <w:szCs w:val="26"/>
          <w:u w:val="single"/>
        </w:rPr>
        <w:t>Количество услуг: 756 койко-дней, что составляет 42 путевки</w:t>
      </w:r>
      <w:r w:rsidRPr="00A46EAB">
        <w:rPr>
          <w:b/>
          <w:color w:val="000000"/>
          <w:spacing w:val="-4"/>
          <w:sz w:val="26"/>
          <w:szCs w:val="26"/>
          <w:u w:val="single"/>
        </w:rPr>
        <w:t xml:space="preserve"> </w:t>
      </w:r>
    </w:p>
    <w:p w:rsidR="00F2060F" w:rsidRDefault="00F2060F" w:rsidP="00F2060F">
      <w:pPr>
        <w:keepNext/>
        <w:widowControl w:val="0"/>
        <w:spacing w:line="360" w:lineRule="exact"/>
        <w:contextualSpacing/>
        <w:jc w:val="both"/>
        <w:rPr>
          <w:b/>
          <w:color w:val="000000"/>
          <w:spacing w:val="-4"/>
          <w:sz w:val="26"/>
          <w:szCs w:val="26"/>
        </w:rPr>
      </w:pPr>
      <w:r w:rsidRPr="00A46EAB">
        <w:rPr>
          <w:b/>
          <w:color w:val="000000"/>
          <w:spacing w:val="-4"/>
          <w:sz w:val="26"/>
          <w:szCs w:val="26"/>
          <w:u w:val="single"/>
        </w:rPr>
        <w:t>Место оказания услуг:</w:t>
      </w:r>
      <w:r>
        <w:rPr>
          <w:b/>
          <w:color w:val="000000"/>
          <w:spacing w:val="-4"/>
          <w:sz w:val="26"/>
          <w:szCs w:val="26"/>
        </w:rPr>
        <w:t xml:space="preserve"> </w:t>
      </w:r>
      <w:r w:rsidRPr="00020528">
        <w:rPr>
          <w:bCs/>
          <w:sz w:val="26"/>
          <w:szCs w:val="26"/>
        </w:rPr>
        <w:t>Российская Федерация: лечебно-оздоровительная зона Самарской области или курорт Самарской области.</w:t>
      </w:r>
    </w:p>
    <w:p w:rsidR="00F2060F" w:rsidRPr="00A46EAB" w:rsidRDefault="00F2060F" w:rsidP="00F2060F">
      <w:pPr>
        <w:keepNext/>
        <w:widowControl w:val="0"/>
        <w:overflowPunct w:val="0"/>
        <w:autoSpaceDE w:val="0"/>
        <w:spacing w:line="360" w:lineRule="exact"/>
        <w:contextualSpacing/>
        <w:jc w:val="both"/>
        <w:textAlignment w:val="baseline"/>
        <w:rPr>
          <w:b/>
          <w:spacing w:val="-4"/>
          <w:sz w:val="26"/>
          <w:szCs w:val="26"/>
        </w:rPr>
      </w:pPr>
      <w:r w:rsidRPr="00A46EAB">
        <w:rPr>
          <w:b/>
          <w:spacing w:val="-4"/>
          <w:sz w:val="26"/>
          <w:szCs w:val="26"/>
          <w:u w:val="single"/>
        </w:rPr>
        <w:t xml:space="preserve">Количество </w:t>
      </w:r>
      <w:proofErr w:type="spellStart"/>
      <w:r w:rsidRPr="00A46EAB">
        <w:rPr>
          <w:b/>
          <w:spacing w:val="-4"/>
          <w:sz w:val="26"/>
          <w:szCs w:val="26"/>
          <w:u w:val="single"/>
        </w:rPr>
        <w:t>койко</w:t>
      </w:r>
      <w:proofErr w:type="spellEnd"/>
      <w:r w:rsidRPr="00A46EAB">
        <w:rPr>
          <w:b/>
          <w:spacing w:val="-4"/>
          <w:sz w:val="26"/>
          <w:szCs w:val="26"/>
          <w:u w:val="single"/>
        </w:rPr>
        <w:t xml:space="preserve"> – дней по 1 путевке – 18</w:t>
      </w:r>
    </w:p>
    <w:p w:rsidR="00F2060F" w:rsidRDefault="00F2060F" w:rsidP="00F2060F">
      <w:pPr>
        <w:widowControl w:val="0"/>
        <w:spacing w:line="360" w:lineRule="exact"/>
        <w:contextualSpacing/>
        <w:jc w:val="both"/>
        <w:rPr>
          <w:b/>
          <w:color w:val="000000"/>
          <w:spacing w:val="-4"/>
          <w:sz w:val="26"/>
          <w:szCs w:val="26"/>
        </w:rPr>
      </w:pPr>
      <w:r w:rsidRPr="00A46EAB">
        <w:rPr>
          <w:b/>
          <w:color w:val="000000"/>
          <w:spacing w:val="-4"/>
          <w:sz w:val="26"/>
          <w:szCs w:val="26"/>
          <w:u w:val="single"/>
        </w:rPr>
        <w:t>Срок оказания услуг</w:t>
      </w:r>
      <w:r w:rsidRPr="00A46EAB">
        <w:rPr>
          <w:b/>
          <w:color w:val="000000"/>
          <w:spacing w:val="-4"/>
          <w:sz w:val="26"/>
          <w:szCs w:val="26"/>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color w:val="000000"/>
          <w:spacing w:val="-4"/>
          <w:sz w:val="26"/>
          <w:szCs w:val="26"/>
        </w:rPr>
        <w:t>в течении 2022</w:t>
      </w:r>
      <w:r w:rsidRPr="00020528">
        <w:rPr>
          <w:rFonts w:eastAsia="Calibri"/>
          <w:sz w:val="26"/>
          <w:szCs w:val="26"/>
          <w:lang w:eastAsia="en-US"/>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w:t>
      </w:r>
      <w:r>
        <w:rPr>
          <w:sz w:val="26"/>
          <w:szCs w:val="26"/>
        </w:rPr>
        <w:t xml:space="preserve">тевкам должен быть не позднее 10 ноября </w:t>
      </w:r>
      <w:r w:rsidRPr="00020528">
        <w:rPr>
          <w:sz w:val="26"/>
          <w:szCs w:val="26"/>
        </w:rPr>
        <w:t>2022 г., а по перенесенным и допол</w:t>
      </w:r>
      <w:r>
        <w:rPr>
          <w:sz w:val="26"/>
          <w:szCs w:val="26"/>
        </w:rPr>
        <w:t>нительным путевкам не позднее 25 ноября 2</w:t>
      </w:r>
      <w:r w:rsidRPr="00020528">
        <w:rPr>
          <w:sz w:val="26"/>
          <w:szCs w:val="26"/>
        </w:rPr>
        <w:t>022.</w:t>
      </w:r>
    </w:p>
    <w:p w:rsidR="00F2060F" w:rsidRDefault="00F2060F" w:rsidP="00F2060F">
      <w:pPr>
        <w:widowControl w:val="0"/>
        <w:contextualSpacing/>
        <w:jc w:val="both"/>
        <w:rPr>
          <w:b/>
          <w:color w:val="000000"/>
          <w:spacing w:val="-4"/>
        </w:rPr>
      </w:pPr>
    </w:p>
    <w:p w:rsidR="00F13F20" w:rsidRDefault="00F13F20" w:rsidP="00847D45">
      <w:pPr>
        <w:widowControl w:val="0"/>
        <w:contextualSpacing/>
        <w:jc w:val="center"/>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75500E">
        <w:rPr>
          <w:rFonts w:eastAsia="Arial" w:cs="Arial"/>
          <w:sz w:val="26"/>
          <w:szCs w:val="26"/>
        </w:rPr>
        <w:t>азание в 2022</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F2060F" w:rsidRPr="00020528" w:rsidRDefault="00F2060F" w:rsidP="00F2060F">
      <w:pPr>
        <w:pStyle w:val="affb"/>
        <w:tabs>
          <w:tab w:val="center" w:pos="5173"/>
        </w:tabs>
        <w:spacing w:after="0" w:line="360" w:lineRule="exact"/>
        <w:ind w:left="0" w:firstLine="709"/>
        <w:rPr>
          <w:bCs/>
          <w:sz w:val="26"/>
          <w:szCs w:val="26"/>
        </w:rPr>
      </w:pPr>
      <w:r w:rsidRPr="00020528">
        <w:rPr>
          <w:sz w:val="26"/>
          <w:szCs w:val="26"/>
        </w:rPr>
        <w:t>- болезни системы кровообращения;</w:t>
      </w:r>
      <w:r w:rsidRPr="00020528">
        <w:rPr>
          <w:bCs/>
          <w:sz w:val="26"/>
          <w:szCs w:val="26"/>
        </w:rPr>
        <w:tab/>
      </w:r>
    </w:p>
    <w:p w:rsidR="00F2060F" w:rsidRPr="00020528" w:rsidRDefault="00F2060F" w:rsidP="00F2060F">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F2060F" w:rsidRDefault="00F2060F" w:rsidP="00F2060F">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F2060F" w:rsidRDefault="00F2060F" w:rsidP="00F2060F">
      <w:pPr>
        <w:pStyle w:val="affb"/>
        <w:tabs>
          <w:tab w:val="center" w:pos="5173"/>
        </w:tabs>
        <w:spacing w:after="0" w:line="360" w:lineRule="exact"/>
        <w:ind w:left="0" w:firstLine="709"/>
        <w:rPr>
          <w:bCs/>
          <w:sz w:val="26"/>
          <w:szCs w:val="26"/>
        </w:rPr>
      </w:pPr>
      <w:r>
        <w:rPr>
          <w:sz w:val="26"/>
          <w:szCs w:val="26"/>
        </w:rPr>
        <w:t>-</w:t>
      </w:r>
      <w:r w:rsidRPr="0057799C">
        <w:rPr>
          <w:sz w:val="26"/>
          <w:szCs w:val="26"/>
        </w:rPr>
        <w:t xml:space="preserve"> </w:t>
      </w:r>
      <w:r w:rsidRPr="0013008A">
        <w:rPr>
          <w:sz w:val="26"/>
          <w:szCs w:val="26"/>
        </w:rPr>
        <w:t>болезни костно-мышечной</w:t>
      </w:r>
      <w:r>
        <w:rPr>
          <w:sz w:val="26"/>
          <w:szCs w:val="26"/>
        </w:rPr>
        <w:t xml:space="preserve"> системы и соединительной ткани.</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курортного лечения:</w:t>
      </w:r>
      <w:r w:rsidR="00F2060F">
        <w:rPr>
          <w:bCs/>
          <w:sz w:val="26"/>
          <w:szCs w:val="26"/>
        </w:rPr>
        <w:t xml:space="preserve"> кардиология</w:t>
      </w:r>
      <w:r w:rsidR="009A02A1">
        <w:rPr>
          <w:bCs/>
          <w:sz w:val="26"/>
          <w:szCs w:val="26"/>
        </w:rPr>
        <w:t>,</w:t>
      </w:r>
      <w:r w:rsidR="00A2095A" w:rsidRPr="00A2095A">
        <w:rPr>
          <w:bCs/>
          <w:sz w:val="26"/>
          <w:szCs w:val="26"/>
        </w:rPr>
        <w:t xml:space="preserve"> </w:t>
      </w:r>
      <w:r w:rsidR="00A2095A">
        <w:rPr>
          <w:bCs/>
          <w:sz w:val="26"/>
          <w:szCs w:val="26"/>
        </w:rPr>
        <w:t xml:space="preserve">неврология, </w:t>
      </w:r>
      <w:r w:rsidR="009A02A1">
        <w:rPr>
          <w:bCs/>
          <w:sz w:val="26"/>
          <w:szCs w:val="26"/>
        </w:rPr>
        <w:t>пульмонология</w:t>
      </w:r>
      <w:r w:rsidR="00A2095A">
        <w:rPr>
          <w:bCs/>
          <w:sz w:val="26"/>
          <w:szCs w:val="26"/>
        </w:rPr>
        <w:t>, травматология и ортопедия</w:t>
      </w:r>
      <w:r w:rsidR="009003A3">
        <w:rPr>
          <w:bCs/>
          <w:sz w:val="26"/>
          <w:szCs w:val="26"/>
        </w:rPr>
        <w:t>.</w:t>
      </w:r>
    </w:p>
    <w:p w:rsidR="00FB022F" w:rsidRPr="005F2569" w:rsidRDefault="00FB022F" w:rsidP="005F2569">
      <w:pPr>
        <w:pStyle w:val="affb"/>
        <w:tabs>
          <w:tab w:val="left" w:pos="3459"/>
        </w:tabs>
        <w:spacing w:after="0" w:line="360" w:lineRule="exact"/>
        <w:ind w:left="0" w:firstLine="709"/>
        <w:rPr>
          <w:bCs/>
          <w:sz w:val="26"/>
          <w:szCs w:val="26"/>
        </w:rPr>
      </w:pPr>
      <w:bookmarkStart w:id="0" w:name="_GoBack"/>
      <w:bookmarkEnd w:id="0"/>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8F" w:rsidRDefault="0079418F">
      <w:r>
        <w:separator/>
      </w:r>
    </w:p>
  </w:endnote>
  <w:endnote w:type="continuationSeparator" w:id="0">
    <w:p w:rsidR="0079418F" w:rsidRDefault="0079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8F" w:rsidRDefault="0079418F">
      <w:r>
        <w:separator/>
      </w:r>
    </w:p>
  </w:footnote>
  <w:footnote w:type="continuationSeparator" w:id="0">
    <w:p w:rsidR="0079418F" w:rsidRDefault="00794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BD6"/>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27B19"/>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18F"/>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A39"/>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8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60F"/>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4DF"/>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B36F-A902-4CDF-8EA4-EE8FCCB8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2022-08-03T06:36:00Z</dcterms:created>
  <dcterms:modified xsi:type="dcterms:W3CDTF">2022-08-03T06:36:00Z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