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к </w:t>
      </w:r>
      <w:r w:rsidR="007B6F6A">
        <w:rPr>
          <w:rFonts w:eastAsia="Times New Roman CYR" w:cs="Times New Roman"/>
          <w:b/>
          <w:bCs/>
          <w:color w:val="000000"/>
          <w:sz w:val="20"/>
          <w:szCs w:val="20"/>
        </w:rPr>
        <w:t xml:space="preserve">извещению о проведении закупки </w:t>
      </w: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C023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протезно-ортопедическими изделиями в 2022 году.</w:t>
      </w:r>
    </w:p>
    <w:p w:rsidR="00CF2095" w:rsidRDefault="00CF209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C0234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BB467E" w:rsidRDefault="00CC0234" w:rsidP="00576966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BB467E">
        <w:rPr>
          <w:rFonts w:eastAsia="Times New Roman CYR" w:cs="Times New Roman"/>
          <w:sz w:val="20"/>
          <w:szCs w:val="20"/>
        </w:rPr>
        <w:t>в 2022 году:</w:t>
      </w:r>
      <w:r w:rsidR="00576966">
        <w:rPr>
          <w:rFonts w:eastAsia="Times New Roman CYR" w:cs="Times New Roman"/>
          <w:sz w:val="20"/>
          <w:szCs w:val="20"/>
        </w:rPr>
        <w:t xml:space="preserve"> </w:t>
      </w:r>
      <w:r w:rsidR="00DB0FDC">
        <w:rPr>
          <w:rFonts w:eastAsia="Times New Roman CYR" w:cs="Times New Roman"/>
          <w:b/>
          <w:bCs/>
          <w:sz w:val="20"/>
          <w:szCs w:val="20"/>
        </w:rPr>
        <w:t xml:space="preserve">Протезы </w:t>
      </w:r>
      <w:r w:rsidR="00B25E9F">
        <w:rPr>
          <w:rFonts w:eastAsia="Times New Roman CYR" w:cs="Times New Roman"/>
          <w:b/>
          <w:bCs/>
          <w:sz w:val="20"/>
          <w:szCs w:val="20"/>
        </w:rPr>
        <w:t>для купания</w:t>
      </w:r>
    </w:p>
    <w:p w:rsidR="00600F9F" w:rsidRDefault="00600F9F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10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1392"/>
        <w:gridCol w:w="876"/>
        <w:gridCol w:w="1415"/>
      </w:tblGrid>
      <w:tr w:rsidR="00CF2095" w:rsidTr="00F50A7F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347A91" w:rsidTr="00F50A7F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Default="00347A91" w:rsidP="00347A91">
            <w:pPr>
              <w:pStyle w:val="Standard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для купания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Default="00347A91" w:rsidP="00347A9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протеза: модульный;</w:t>
            </w:r>
          </w:p>
          <w:p w:rsidR="00347A91" w:rsidRDefault="00347A91" w:rsidP="00347A9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Косметическая облицовка: отсутствует;</w:t>
            </w:r>
          </w:p>
          <w:p w:rsidR="00347A91" w:rsidRDefault="00347A91" w:rsidP="00347A9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Приемная гильза: индивидуальная, изготовленная по слепку с культи инвалида;</w:t>
            </w:r>
          </w:p>
          <w:p w:rsidR="00347A91" w:rsidRDefault="00347A91" w:rsidP="00347A9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приемной гильзы: литьевой слоистый пластик на основе акриловых смол с мягкой вкладной гильзой из вспененных материалов;</w:t>
            </w:r>
          </w:p>
          <w:p w:rsidR="00347A91" w:rsidRDefault="00347A91" w:rsidP="00347A9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приемных гильз: примерочная – 1 шт., постоянная – 1шт.;</w:t>
            </w:r>
          </w:p>
          <w:p w:rsidR="00347A91" w:rsidRDefault="00347A91" w:rsidP="00347A9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протеза: с водостойким резиновым наколенником;</w:t>
            </w:r>
          </w:p>
          <w:p w:rsidR="00347A91" w:rsidRDefault="00347A91" w:rsidP="00347A9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Регулировочно-соединительные устройства: водостойкие, на нагрузку до 125 кг.;</w:t>
            </w:r>
          </w:p>
          <w:p w:rsidR="00347A91" w:rsidRDefault="00347A91" w:rsidP="00347A91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Стопа: водостойкая с повышенной безопасностью в фазе опоры;</w:t>
            </w:r>
          </w:p>
          <w:p w:rsidR="00347A91" w:rsidRPr="00347A91" w:rsidRDefault="00347A91" w:rsidP="00347A91">
            <w:pPr>
              <w:pStyle w:val="Textbody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протеза: специальный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Pr="009A2F1C" w:rsidRDefault="00347A91" w:rsidP="00347A91">
            <w:pPr>
              <w:pStyle w:val="Standard"/>
              <w:keepNext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207 870,22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Pr="009A2F1C" w:rsidRDefault="00D62A48" w:rsidP="00347A91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Pr="009A2F1C" w:rsidRDefault="00D62A48" w:rsidP="00347A91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3 325 923,52</w:t>
            </w:r>
          </w:p>
        </w:tc>
      </w:tr>
      <w:tr w:rsidR="00347A91" w:rsidTr="00F50A7F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Default="00347A91" w:rsidP="00347A91">
            <w:pPr>
              <w:pStyle w:val="Textbody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для купания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Default="00347A91" w:rsidP="00347A91">
            <w:pPr>
              <w:pStyle w:val="Standard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Протез бедра для купания</w:t>
            </w:r>
          </w:p>
          <w:p w:rsidR="00347A91" w:rsidRDefault="00347A91" w:rsidP="00347A91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347A91" w:rsidRDefault="00347A91" w:rsidP="00347A91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отсутствует;</w:t>
            </w:r>
          </w:p>
          <w:p w:rsidR="00347A91" w:rsidRDefault="00347A91" w:rsidP="00347A91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347A91" w:rsidRDefault="00347A91" w:rsidP="00347A91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347A91" w:rsidRDefault="00347A91" w:rsidP="00347A91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приемных гильз: примерочная – 1 шт., постоянная – 1шт.;</w:t>
            </w:r>
          </w:p>
          <w:p w:rsidR="00347A91" w:rsidRDefault="00347A91" w:rsidP="00347A91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полимерным чехлом с использованием водостойкого замка/мембраны или системы крепления по типу «K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ISS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»;</w:t>
            </w:r>
          </w:p>
          <w:p w:rsidR="00347A91" w:rsidRDefault="00347A91" w:rsidP="00347A91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полимерных чехлов: 2 шт.;</w:t>
            </w:r>
          </w:p>
          <w:p w:rsidR="00347A91" w:rsidRDefault="00347A91" w:rsidP="00347A91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устройства: водостойкие, на нагрузку до 125 кг.;</w:t>
            </w:r>
          </w:p>
          <w:p w:rsidR="00347A91" w:rsidRDefault="00347A91" w:rsidP="00347A91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Коленный модуль: водостойкий моноцентрический гидравлический коленный шарнир с фиксатором (замком) с независимым регулированием фаз сгибания-разгибания, уровень активности К2-К3;</w:t>
            </w:r>
          </w:p>
          <w:p w:rsidR="00347A91" w:rsidRDefault="00347A91" w:rsidP="00347A91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Стопа: водостойкая с повышенной безопасностью в фазе опоры;</w:t>
            </w:r>
          </w:p>
          <w:p w:rsidR="00347A91" w:rsidRPr="00347A91" w:rsidRDefault="00347A91" w:rsidP="00347A91">
            <w:pPr>
              <w:pStyle w:val="Textbody"/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Назначение протеза: специальный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Pr="009A2F1C" w:rsidRDefault="00D62A48" w:rsidP="00347A9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490 258,37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Pr="009A2F1C" w:rsidRDefault="00D62A48" w:rsidP="00347A91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Pr="009A2F1C" w:rsidRDefault="00D62A48" w:rsidP="00347A9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2 451 291,85</w:t>
            </w:r>
          </w:p>
        </w:tc>
      </w:tr>
      <w:tr w:rsidR="00347A91" w:rsidTr="00F50A7F">
        <w:trPr>
          <w:trHeight w:val="561"/>
        </w:trPr>
        <w:tc>
          <w:tcPr>
            <w:tcW w:w="110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Default="00347A91" w:rsidP="00347A91">
            <w:pPr>
              <w:pStyle w:val="Standard"/>
              <w:snapToGrid w:val="0"/>
              <w:ind w:left="-12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Все изделия должны соответствовать: ГОСТ Р 51632-2021 (разд. 4,5), ГОСТ ИСО 22523-2007,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10993-1-2021,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10993-5-2011,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10993-10-2011, ГОСТ </w:t>
            </w:r>
            <w:r>
              <w:rPr>
                <w:rFonts w:cs="Times New Roman"/>
                <w:sz w:val="20"/>
                <w:szCs w:val="20"/>
                <w:lang w:val="en-US"/>
              </w:rPr>
              <w:t>ISO</w:t>
            </w:r>
            <w:r>
              <w:rPr>
                <w:rFonts w:cs="Times New Roman"/>
                <w:sz w:val="20"/>
                <w:szCs w:val="20"/>
              </w:rPr>
              <w:t xml:space="preserve"> 10993-11-2021, ГОСТ Р 52770-2016.</w:t>
            </w:r>
          </w:p>
          <w:p w:rsidR="00347A91" w:rsidRDefault="00347A91" w:rsidP="00347A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Срок гарантии — 12 месяцев</w:t>
            </w:r>
          </w:p>
        </w:tc>
      </w:tr>
      <w:tr w:rsidR="00347A91" w:rsidTr="00F50A7F">
        <w:trPr>
          <w:trHeight w:val="255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Default="00347A91" w:rsidP="00347A9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Default="00D62A48" w:rsidP="00347A91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91" w:rsidRDefault="00D62A48" w:rsidP="00347A9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5 777 215,37</w:t>
            </w:r>
          </w:p>
        </w:tc>
      </w:tr>
    </w:tbl>
    <w:p w:rsidR="00CF2095" w:rsidRDefault="00CF2095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AF77A7" w:rsidRPr="00AF77A7" w:rsidRDefault="00AF77A7" w:rsidP="00241E9C">
      <w:pPr>
        <w:pStyle w:val="Standard"/>
        <w:autoSpaceDE w:val="0"/>
        <w:ind w:left="708"/>
        <w:jc w:val="both"/>
      </w:pP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 xml:space="preserve">Начальная (максимальная) цена контракта: </w:t>
      </w:r>
      <w:r w:rsidR="00D62A48">
        <w:rPr>
          <w:rFonts w:eastAsia="Times New Roman CYR" w:cs="Times New Roman"/>
          <w:b/>
          <w:bCs/>
          <w:sz w:val="20"/>
          <w:szCs w:val="20"/>
        </w:rPr>
        <w:t>5 777 215</w:t>
      </w:r>
      <w:r w:rsidR="00002C1E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D62A48">
        <w:rPr>
          <w:rFonts w:eastAsia="Times New Roman CYR" w:cs="Times New Roman"/>
          <w:bCs/>
          <w:sz w:val="20"/>
          <w:szCs w:val="20"/>
        </w:rPr>
        <w:t>рублей</w:t>
      </w:r>
      <w:r>
        <w:rPr>
          <w:rFonts w:eastAsia="Times New Roman CYR" w:cs="Times New Roman"/>
          <w:bCs/>
          <w:sz w:val="20"/>
          <w:szCs w:val="20"/>
        </w:rPr>
        <w:t xml:space="preserve"> </w:t>
      </w:r>
      <w:r w:rsidR="00D62A48">
        <w:rPr>
          <w:rFonts w:eastAsia="Times New Roman CYR" w:cs="Times New Roman"/>
          <w:b/>
          <w:bCs/>
          <w:sz w:val="20"/>
          <w:szCs w:val="20"/>
        </w:rPr>
        <w:t>37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D62A48">
        <w:rPr>
          <w:rFonts w:eastAsia="Times New Roman CYR" w:cs="Times New Roman"/>
          <w:bCs/>
          <w:sz w:val="20"/>
          <w:szCs w:val="20"/>
        </w:rPr>
        <w:t>копеек</w:t>
      </w:r>
      <w:r>
        <w:rPr>
          <w:rFonts w:eastAsia="Times New Roman CYR" w:cs="Times New Roman"/>
          <w:bCs/>
          <w:sz w:val="20"/>
          <w:szCs w:val="20"/>
        </w:rPr>
        <w:t>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>протез</w:t>
      </w:r>
      <w:r w:rsidR="00002C1E">
        <w:rPr>
          <w:rFonts w:cs="Times New Roman"/>
          <w:i/>
          <w:sz w:val="20"/>
          <w:szCs w:val="20"/>
        </w:rPr>
        <w:t>ов</w:t>
      </w:r>
      <w:r>
        <w:rPr>
          <w:rFonts w:cs="Times New Roman"/>
          <w:i/>
          <w:sz w:val="20"/>
          <w:szCs w:val="20"/>
        </w:rPr>
        <w:t xml:space="preserve"> </w:t>
      </w:r>
      <w:r w:rsidR="009926A8">
        <w:rPr>
          <w:rFonts w:cs="Times New Roman"/>
          <w:i/>
          <w:sz w:val="20"/>
          <w:szCs w:val="20"/>
        </w:rPr>
        <w:t>для купания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CF2095" w:rsidRDefault="00CC0234">
      <w:pPr>
        <w:pStyle w:val="ae"/>
        <w:numPr>
          <w:ilvl w:val="0"/>
          <w:numId w:val="3"/>
        </w:numPr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 xml:space="preserve">протезируемой (ортезируемой) </w:t>
      </w:r>
      <w:r>
        <w:rPr>
          <w:rFonts w:cs="Times New Roman"/>
          <w:sz w:val="20"/>
          <w:szCs w:val="20"/>
        </w:rPr>
        <w:t xml:space="preserve"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</w:t>
      </w:r>
      <w:r>
        <w:rPr>
          <w:rFonts w:cs="Times New Roman"/>
          <w:sz w:val="20"/>
          <w:szCs w:val="20"/>
        </w:rPr>
        <w:lastRenderedPageBreak/>
        <w:t>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</w:t>
      </w:r>
      <w:r w:rsidR="001878F9">
        <w:rPr>
          <w:rFonts w:cs="Times New Roman"/>
          <w:sz w:val="20"/>
          <w:szCs w:val="20"/>
        </w:rPr>
        <w:t>телей Изделий, но не позднее «15</w:t>
      </w:r>
      <w:r>
        <w:rPr>
          <w:rFonts w:cs="Times New Roman"/>
          <w:sz w:val="20"/>
          <w:szCs w:val="20"/>
        </w:rPr>
        <w:t xml:space="preserve">» декабря 2022 года. 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CF2095" w:rsidRDefault="00CC0234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 начальной (максимальной) цены контракта</w:t>
      </w:r>
    </w:p>
    <w:p w:rsidR="00CF2095" w:rsidRDefault="00CC0234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CF2095" w:rsidRDefault="00CF2095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autoSpaceDE w:val="0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  <w:bookmarkStart w:id="0" w:name="_GoBack"/>
      <w:bookmarkEnd w:id="0"/>
    </w:p>
    <w:p w:rsidR="00CF2095" w:rsidRDefault="00CF2095">
      <w:pPr>
        <w:pStyle w:val="Standard"/>
        <w:autoSpaceDE w:val="0"/>
        <w:ind w:left="-12"/>
        <w:jc w:val="center"/>
        <w:rPr>
          <w:rFonts w:cs="Times New Roman"/>
          <w:sz w:val="20"/>
          <w:szCs w:val="20"/>
        </w:rPr>
      </w:pPr>
    </w:p>
    <w:sectPr w:rsidR="00CF2095" w:rsidSect="00C908C6">
      <w:pgSz w:w="11906" w:h="16838"/>
      <w:pgMar w:top="709" w:right="94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92" w:rsidRDefault="00015E92">
      <w:r>
        <w:separator/>
      </w:r>
    </w:p>
  </w:endnote>
  <w:endnote w:type="continuationSeparator" w:id="0">
    <w:p w:rsidR="00015E92" w:rsidRDefault="0001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92" w:rsidRDefault="00015E92">
      <w:r>
        <w:rPr>
          <w:color w:val="000000"/>
        </w:rPr>
        <w:separator/>
      </w:r>
    </w:p>
  </w:footnote>
  <w:footnote w:type="continuationSeparator" w:id="0">
    <w:p w:rsidR="00015E92" w:rsidRDefault="0001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3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5"/>
    <w:rsid w:val="00002C1E"/>
    <w:rsid w:val="00015E92"/>
    <w:rsid w:val="000652D4"/>
    <w:rsid w:val="000A519E"/>
    <w:rsid w:val="000C1EAC"/>
    <w:rsid w:val="001878F9"/>
    <w:rsid w:val="00241E9C"/>
    <w:rsid w:val="00280AFD"/>
    <w:rsid w:val="002841B7"/>
    <w:rsid w:val="00347A91"/>
    <w:rsid w:val="003B7AC9"/>
    <w:rsid w:val="00427C27"/>
    <w:rsid w:val="0047162E"/>
    <w:rsid w:val="004F6B59"/>
    <w:rsid w:val="005350C7"/>
    <w:rsid w:val="00576966"/>
    <w:rsid w:val="005C38D4"/>
    <w:rsid w:val="005D756A"/>
    <w:rsid w:val="00600F9F"/>
    <w:rsid w:val="00685B13"/>
    <w:rsid w:val="007B6F6A"/>
    <w:rsid w:val="008A73E5"/>
    <w:rsid w:val="008B2F08"/>
    <w:rsid w:val="00943297"/>
    <w:rsid w:val="009926A8"/>
    <w:rsid w:val="009A2F1C"/>
    <w:rsid w:val="00A04F1A"/>
    <w:rsid w:val="00AF5A0E"/>
    <w:rsid w:val="00AF77A7"/>
    <w:rsid w:val="00B07C37"/>
    <w:rsid w:val="00B2590A"/>
    <w:rsid w:val="00B25E9F"/>
    <w:rsid w:val="00B8032B"/>
    <w:rsid w:val="00BB467E"/>
    <w:rsid w:val="00C1741B"/>
    <w:rsid w:val="00C908C6"/>
    <w:rsid w:val="00CC0234"/>
    <w:rsid w:val="00CF2095"/>
    <w:rsid w:val="00D62A48"/>
    <w:rsid w:val="00D63BEC"/>
    <w:rsid w:val="00DB0FDC"/>
    <w:rsid w:val="00DE68BB"/>
    <w:rsid w:val="00EB1ADF"/>
    <w:rsid w:val="00F50A7F"/>
    <w:rsid w:val="00F77B11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100B-FCA3-42C5-AFE4-0F425C2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AAC2-379F-4294-A660-8655A356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Иванченко Полина Викторовна</cp:lastModifiedBy>
  <cp:revision>32</cp:revision>
  <cp:lastPrinted>2022-08-30T00:49:00Z</cp:lastPrinted>
  <dcterms:created xsi:type="dcterms:W3CDTF">2022-06-29T01:32:00Z</dcterms:created>
  <dcterms:modified xsi:type="dcterms:W3CDTF">2022-09-01T05:52:00Z</dcterms:modified>
</cp:coreProperties>
</file>