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к приказу</w:t>
      </w:r>
      <w:r w:rsidR="00FE3D8B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ОСФР по Республике Саха (Якутия)</w:t>
      </w:r>
      <w:r w:rsidR="00F565CB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№__________от __________2023</w:t>
      </w: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г.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на выполнение работ по обеспечению инвалидов протезами,</w:t>
      </w:r>
    </w:p>
    <w:p w:rsidR="00CF2095" w:rsidRDefault="00CC0234">
      <w:pPr>
        <w:pStyle w:val="Standard"/>
        <w:autoSpaceDE w:val="0"/>
        <w:ind w:firstLine="708"/>
        <w:jc w:val="center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sz w:val="20"/>
          <w:szCs w:val="20"/>
        </w:rPr>
        <w:t>протезно-</w:t>
      </w:r>
      <w:r w:rsidR="00F565CB">
        <w:rPr>
          <w:rFonts w:eastAsia="Times New Roman CYR" w:cs="Times New Roman"/>
          <w:b/>
          <w:bCs/>
          <w:sz w:val="20"/>
          <w:szCs w:val="20"/>
        </w:rPr>
        <w:t>ортопедическими изделиями в 2023</w:t>
      </w:r>
      <w:r>
        <w:rPr>
          <w:rFonts w:eastAsia="Times New Roman CYR" w:cs="Times New Roman"/>
          <w:b/>
          <w:bCs/>
          <w:sz w:val="20"/>
          <w:szCs w:val="20"/>
        </w:rPr>
        <w:t xml:space="preserve"> году.</w:t>
      </w:r>
    </w:p>
    <w:p w:rsidR="00CF2095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CF2095" w:rsidRDefault="00CC0234" w:rsidP="00585174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>
        <w:rPr>
          <w:rFonts w:eastAsia="Times New Roman CYR" w:cs="Times New Roman"/>
          <w:b/>
          <w:bCs/>
          <w:sz w:val="20"/>
          <w:szCs w:val="20"/>
        </w:rPr>
        <w:t>:</w:t>
      </w:r>
      <w:r>
        <w:rPr>
          <w:rFonts w:eastAsia="Times New Roman CYR" w:cs="Times New Roman"/>
          <w:sz w:val="20"/>
          <w:szCs w:val="20"/>
        </w:rPr>
        <w:t xml:space="preserve"> выполнение работ по обеспечению инвалидов протезами, протезно-ортопедическими изделиями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F565CB">
        <w:rPr>
          <w:rFonts w:eastAsia="Times New Roman CYR" w:cs="Times New Roman"/>
          <w:sz w:val="20"/>
          <w:szCs w:val="20"/>
        </w:rPr>
        <w:t>в 2023</w:t>
      </w:r>
      <w:r w:rsidR="00BB467E">
        <w:rPr>
          <w:rFonts w:eastAsia="Times New Roman CYR" w:cs="Times New Roman"/>
          <w:sz w:val="20"/>
          <w:szCs w:val="20"/>
        </w:rPr>
        <w:t xml:space="preserve"> году:</w:t>
      </w:r>
      <w:r w:rsidR="00585174">
        <w:rPr>
          <w:rFonts w:eastAsia="Times New Roman CYR" w:cs="Times New Roman"/>
          <w:sz w:val="20"/>
          <w:szCs w:val="20"/>
        </w:rPr>
        <w:t xml:space="preserve"> </w:t>
      </w:r>
      <w:r w:rsidR="00F565CB">
        <w:rPr>
          <w:rFonts w:eastAsia="Times New Roman CYR" w:cs="Times New Roman"/>
          <w:b/>
          <w:bCs/>
          <w:sz w:val="20"/>
          <w:szCs w:val="20"/>
        </w:rPr>
        <w:t xml:space="preserve">Протез </w:t>
      </w:r>
      <w:r w:rsidR="00813BAF">
        <w:rPr>
          <w:rFonts w:eastAsia="Times New Roman CYR" w:cs="Times New Roman"/>
          <w:b/>
          <w:bCs/>
          <w:sz w:val="20"/>
          <w:szCs w:val="20"/>
        </w:rPr>
        <w:t>бедра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 w:rsidR="00BB467E">
        <w:rPr>
          <w:rFonts w:eastAsia="Times New Roman CYR" w:cs="Times New Roman"/>
          <w:b/>
          <w:bCs/>
          <w:sz w:val="20"/>
          <w:szCs w:val="20"/>
        </w:rPr>
        <w:t>с микропроцессорным управлением;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1392"/>
        <w:gridCol w:w="876"/>
        <w:gridCol w:w="1274"/>
      </w:tblGrid>
      <w:tr w:rsidR="00CF2095" w:rsidTr="00002C1E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813BAF" w:rsidTr="00002C1E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Протез бедра модульный с микропроцессорным управлением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бедра модульный с микропроцессорным управлением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 с микропроцессорным управлением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</w:t>
            </w:r>
            <w:r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/ скелетированая карбоновая с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вкладной гильзой из мягкого термолина;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примерочная – 1 шт., постоянная – 1шт.;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с поворотным устройством (адаптером), на нагрузку до 125 кг.;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Коленный модуль: Гидравлический одноосный коленный шарнир с электронной системой управления, обеспечивающей интуитивную и естественную последовательность при ходьбе, более безопасную, по отношению к аналогам, физиологическую ходьбу по любой поверхности, с функцией автоматической подстройки коленного шарнира под скорость и условия ходьбы пациента, даже при движении задним ходом, с режимом, дающим возможность пациентам подниматься и спускаться  по лестнице и наклонной плоскости переменным(не приставным) шагом, с режимом полной фиксации под любым углом; Опционные возможности настройки дополнительной поддержки позволяют подниматься по пандусу или присаживаться на корточки. Коленный модуль имеет класс защиты от попадания влаги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IP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67 для дополнительной безопасности, который выдерживает кратковременный ливень или водяные брызги. Оснащенный двумя различными функциями стояния, коленный модуль также обеспечивает устойчивость сохранной конечности.  Пять отдельных режимов 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MyMode</w:t>
            </w:r>
            <w:r w:rsidRPr="000B3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обеспечивают индивидуальные последовательности движений при ходьбе – для профессиональной деятельности или отдыха. </w:t>
            </w:r>
          </w:p>
          <w:p w:rsidR="000B3830" w:rsidRDefault="000B3830" w:rsidP="000B38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813BAF" w:rsidRPr="007D197F" w:rsidRDefault="000B3830" w:rsidP="000B3830">
            <w:pPr>
              <w:keepNext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постоянный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Pr="007D197F" w:rsidRDefault="0067584D" w:rsidP="00813B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4 010 722,55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813BAF" w:rsidP="00813BAF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BAF" w:rsidRDefault="0067584D" w:rsidP="00813BA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4 010 722,55</w:t>
            </w:r>
          </w:p>
        </w:tc>
      </w:tr>
      <w:tr w:rsidR="004E417B" w:rsidTr="0058624A">
        <w:trPr>
          <w:trHeight w:val="561"/>
        </w:trPr>
        <w:tc>
          <w:tcPr>
            <w:tcW w:w="7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4E" w:rsidRDefault="00F2094E" w:rsidP="00F2094E">
            <w:pPr>
              <w:pStyle w:val="Textbody"/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ИСО 22523-2007, ГОСТ ISO 10993-1-2021, ГОСТ ISO 10993-5-2011, ГОСТ ISO 10993-10-2011, ГОСТ ISO 10993-11-2021, ГОСТ Р 52770-2016.</w:t>
            </w:r>
          </w:p>
          <w:p w:rsidR="007D197F" w:rsidRPr="007D197F" w:rsidRDefault="00F2094E" w:rsidP="00F2094E">
            <w:pPr>
              <w:keepNext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Срок гарантии -12 месяца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17B" w:rsidRDefault="004E417B" w:rsidP="009432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2095" w:rsidTr="00002C1E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813BAF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Pr="00813BAF" w:rsidRDefault="004725C3" w:rsidP="009432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4 010 722,55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>Начальная</w:t>
      </w:r>
      <w:r w:rsidR="0091628D">
        <w:rPr>
          <w:rFonts w:eastAsia="Times New Roman CYR" w:cs="Times New Roman"/>
          <w:b/>
          <w:bCs/>
          <w:sz w:val="20"/>
          <w:szCs w:val="20"/>
        </w:rPr>
        <w:t xml:space="preserve"> (максима</w:t>
      </w:r>
      <w:r w:rsidR="004725C3">
        <w:rPr>
          <w:rFonts w:eastAsia="Times New Roman CYR" w:cs="Times New Roman"/>
          <w:b/>
          <w:bCs/>
          <w:sz w:val="20"/>
          <w:szCs w:val="20"/>
        </w:rPr>
        <w:t>льная) цена контракта: 4 010 722</w:t>
      </w:r>
      <w:r w:rsidR="00002C1E"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 xml:space="preserve">рубля </w:t>
      </w:r>
      <w:r w:rsidR="004725C3">
        <w:rPr>
          <w:rFonts w:eastAsia="Times New Roman CYR" w:cs="Times New Roman"/>
          <w:b/>
          <w:bCs/>
          <w:sz w:val="20"/>
          <w:szCs w:val="20"/>
        </w:rPr>
        <w:t>55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</w:t>
      </w:r>
      <w:r>
        <w:rPr>
          <w:rFonts w:cs="Times New Roman"/>
          <w:sz w:val="20"/>
          <w:szCs w:val="20"/>
        </w:rPr>
        <w:lastRenderedPageBreak/>
        <w:t xml:space="preserve">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002C1E">
        <w:rPr>
          <w:rFonts w:cs="Times New Roman"/>
          <w:i/>
          <w:sz w:val="20"/>
          <w:szCs w:val="20"/>
        </w:rPr>
        <w:t xml:space="preserve">с </w:t>
      </w:r>
      <w:r>
        <w:rPr>
          <w:rFonts w:cs="Times New Roman"/>
          <w:i/>
          <w:sz w:val="20"/>
          <w:szCs w:val="20"/>
        </w:rPr>
        <w:t xml:space="preserve">микропроцессорным управлением </w:t>
      </w:r>
      <w:r>
        <w:rPr>
          <w:rFonts w:cs="Times New Roman"/>
          <w:sz w:val="20"/>
          <w:szCs w:val="20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585174" w:rsidRDefault="00CC0234">
      <w:pPr>
        <w:pStyle w:val="ae"/>
        <w:numPr>
          <w:ilvl w:val="0"/>
          <w:numId w:val="3"/>
        </w:numPr>
        <w:rPr>
          <w:b/>
        </w:rPr>
      </w:pPr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>
        <w:rPr>
          <w:rFonts w:cs="Times New Roman"/>
          <w:color w:val="000000"/>
          <w:sz w:val="20"/>
          <w:szCs w:val="20"/>
        </w:rPr>
        <w:t xml:space="preserve">протезируемой (ортезируемой) </w:t>
      </w:r>
      <w:r>
        <w:rPr>
          <w:rFonts w:cs="Times New Roman"/>
          <w:sz w:val="20"/>
          <w:szCs w:val="20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нахождения Исполнителя в ГО «Якутск». Передача Получателям готового Изделия осуществляется в течение 60 (шестидесяти) календарных дней с даты получения Исполнителем от Заказчика Реестра получателей Изделий, но не позднее </w:t>
      </w:r>
      <w:r w:rsidRPr="00585174">
        <w:rPr>
          <w:rFonts w:cs="Times New Roman"/>
          <w:b/>
          <w:sz w:val="20"/>
          <w:szCs w:val="20"/>
        </w:rPr>
        <w:t>«</w:t>
      </w:r>
      <w:r w:rsidR="00C64B58">
        <w:rPr>
          <w:rFonts w:cs="Times New Roman"/>
          <w:b/>
          <w:sz w:val="20"/>
          <w:szCs w:val="20"/>
        </w:rPr>
        <w:t>15» декабря</w:t>
      </w:r>
      <w:r w:rsidR="00F565CB">
        <w:rPr>
          <w:rFonts w:cs="Times New Roman"/>
          <w:b/>
          <w:sz w:val="20"/>
          <w:szCs w:val="20"/>
        </w:rPr>
        <w:t xml:space="preserve"> 2023</w:t>
      </w:r>
      <w:r w:rsidRPr="00585174">
        <w:rPr>
          <w:rFonts w:cs="Times New Roman"/>
          <w:b/>
          <w:sz w:val="20"/>
          <w:szCs w:val="20"/>
        </w:rPr>
        <w:t xml:space="preserve"> года. 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8873AA">
        <w:rPr>
          <w:rFonts w:eastAsia="Times New Roman CYR" w:cs="Times New Roman"/>
          <w:color w:val="000000"/>
          <w:kern w:val="0"/>
          <w:sz w:val="20"/>
          <w:szCs w:val="20"/>
        </w:rPr>
        <w:t xml:space="preserve">30% от начальной (максимальной) цены контракта. Указанная сумма является </w:t>
      </w:r>
      <w:r w:rsidR="008873AA">
        <w:rPr>
          <w:rFonts w:eastAsia="Times New Roman CYR" w:cs="Times New Roman"/>
          <w:b/>
          <w:color w:val="000000"/>
          <w:kern w:val="0"/>
          <w:sz w:val="20"/>
          <w:szCs w:val="20"/>
        </w:rPr>
        <w:t>предварительной</w:t>
      </w:r>
      <w:r w:rsidR="008873AA">
        <w:rPr>
          <w:rFonts w:eastAsia="Times New Roman CYR" w:cs="Times New Roman"/>
          <w:color w:val="000000"/>
          <w:kern w:val="0"/>
          <w:sz w:val="20"/>
          <w:szCs w:val="20"/>
        </w:rPr>
        <w:t xml:space="preserve"> и рассчитана от начальной (</w:t>
      </w:r>
      <w:r w:rsidR="008873AA">
        <w:rPr>
          <w:rFonts w:eastAsia="Times New Roman CYR" w:cs="Times New Roman"/>
          <w:b/>
          <w:color w:val="000000"/>
          <w:kern w:val="0"/>
          <w:sz w:val="20"/>
          <w:szCs w:val="20"/>
        </w:rPr>
        <w:t>максимальной</w:t>
      </w:r>
      <w:r w:rsidR="008873AA">
        <w:rPr>
          <w:rFonts w:eastAsia="Times New Roman CYR" w:cs="Times New Roman"/>
          <w:color w:val="000000"/>
          <w:kern w:val="0"/>
          <w:sz w:val="20"/>
          <w:szCs w:val="20"/>
        </w:rPr>
        <w:t>) цены контракта. Итоговая сумма обеспечения исполнения контракта устанавливается от цены, по которой заключается контракт (ч. 6 ст. 96 Закона №44-ФЗ)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Pr="00F80817" w:rsidRDefault="00CF2095" w:rsidP="00F80817">
      <w:pPr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755E2E" w:rsidP="00FE3D8B">
      <w:pPr>
        <w:pStyle w:val="ae"/>
        <w:suppressAutoHyphens w:val="0"/>
        <w:autoSpaceDE w:val="0"/>
        <w:spacing w:line="240" w:lineRule="atLeast"/>
        <w:ind w:left="0"/>
        <w:jc w:val="both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533B35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№2</w:t>
      </w:r>
      <w:r w:rsidR="00F80817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FE3D8B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                                                                 </w:t>
      </w:r>
      <w:bookmarkStart w:id="0" w:name="_GoBack"/>
      <w:bookmarkEnd w:id="0"/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Н.С. Протопопова</w:t>
      </w:r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15" w:rsidRDefault="00056A15">
      <w:r>
        <w:separator/>
      </w:r>
    </w:p>
  </w:endnote>
  <w:endnote w:type="continuationSeparator" w:id="0">
    <w:p w:rsidR="00056A15" w:rsidRDefault="000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15" w:rsidRDefault="00056A15">
      <w:r>
        <w:rPr>
          <w:color w:val="000000"/>
        </w:rPr>
        <w:separator/>
      </w:r>
    </w:p>
  </w:footnote>
  <w:footnote w:type="continuationSeparator" w:id="0">
    <w:p w:rsidR="00056A15" w:rsidRDefault="000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5"/>
    <w:rsid w:val="00002C1E"/>
    <w:rsid w:val="00005B7E"/>
    <w:rsid w:val="00056A15"/>
    <w:rsid w:val="000652D4"/>
    <w:rsid w:val="000B3830"/>
    <w:rsid w:val="000C1EAC"/>
    <w:rsid w:val="000C3A0A"/>
    <w:rsid w:val="000F7765"/>
    <w:rsid w:val="00145517"/>
    <w:rsid w:val="001563D7"/>
    <w:rsid w:val="00164EE4"/>
    <w:rsid w:val="002030D6"/>
    <w:rsid w:val="002525EF"/>
    <w:rsid w:val="002559BA"/>
    <w:rsid w:val="003B7AC9"/>
    <w:rsid w:val="003F37C9"/>
    <w:rsid w:val="004725C3"/>
    <w:rsid w:val="004E417B"/>
    <w:rsid w:val="00533B35"/>
    <w:rsid w:val="005350C7"/>
    <w:rsid w:val="00585174"/>
    <w:rsid w:val="005A263C"/>
    <w:rsid w:val="00600F9F"/>
    <w:rsid w:val="006248B2"/>
    <w:rsid w:val="0067584D"/>
    <w:rsid w:val="00685B13"/>
    <w:rsid w:val="006B1AA1"/>
    <w:rsid w:val="006D329E"/>
    <w:rsid w:val="0075017D"/>
    <w:rsid w:val="00755E2E"/>
    <w:rsid w:val="007D197F"/>
    <w:rsid w:val="00813BAF"/>
    <w:rsid w:val="008873AA"/>
    <w:rsid w:val="008A73E5"/>
    <w:rsid w:val="008A7D6F"/>
    <w:rsid w:val="008B2F08"/>
    <w:rsid w:val="008F3C19"/>
    <w:rsid w:val="0091628D"/>
    <w:rsid w:val="0092582E"/>
    <w:rsid w:val="0093252A"/>
    <w:rsid w:val="00943297"/>
    <w:rsid w:val="009F201F"/>
    <w:rsid w:val="00AC3189"/>
    <w:rsid w:val="00AF5A0E"/>
    <w:rsid w:val="00B72761"/>
    <w:rsid w:val="00B8032B"/>
    <w:rsid w:val="00BB467E"/>
    <w:rsid w:val="00C22098"/>
    <w:rsid w:val="00C32674"/>
    <w:rsid w:val="00C64B58"/>
    <w:rsid w:val="00C70309"/>
    <w:rsid w:val="00C908C6"/>
    <w:rsid w:val="00CC0234"/>
    <w:rsid w:val="00CD5057"/>
    <w:rsid w:val="00CF2095"/>
    <w:rsid w:val="00D04AE4"/>
    <w:rsid w:val="00D63BEC"/>
    <w:rsid w:val="00D82CFF"/>
    <w:rsid w:val="00DB4B95"/>
    <w:rsid w:val="00DE45D2"/>
    <w:rsid w:val="00F2094E"/>
    <w:rsid w:val="00F565CB"/>
    <w:rsid w:val="00F80817"/>
    <w:rsid w:val="00FD5F28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3100B-FCA3-42C5-AFE4-0F425C2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b/>
      <w:bCs/>
      <w:sz w:val="24"/>
      <w:szCs w:val="24"/>
    </w:rPr>
  </w:style>
  <w:style w:type="paragraph" w:styleId="a7">
    <w:name w:val="Balloon Text"/>
    <w:basedOn w:val="a"/>
    <w:rPr>
      <w:rFonts w:ascii="Segoe UI" w:hAnsi="Segoe UI"/>
      <w:sz w:val="18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Pr>
      <w:szCs w:val="21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Pr>
      <w:szCs w:val="21"/>
    </w:rPr>
  </w:style>
  <w:style w:type="character" w:customStyle="1" w:styleId="ac">
    <w:name w:val="Текст выноски Знак"/>
    <w:basedOn w:val="a0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annotation text"/>
    <w:basedOn w:val="a"/>
    <w:rPr>
      <w:sz w:val="20"/>
      <w:szCs w:val="18"/>
    </w:rPr>
  </w:style>
  <w:style w:type="character" w:customStyle="1" w:styleId="af0">
    <w:name w:val="Текст примечания Знак"/>
    <w:basedOn w:val="a0"/>
    <w:rPr>
      <w:sz w:val="20"/>
      <w:szCs w:val="18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Тема примечания Знак"/>
    <w:basedOn w:val="af0"/>
    <w:rPr>
      <w:b/>
      <w:bCs/>
      <w:sz w:val="20"/>
      <w:szCs w:val="18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5224-A9EB-4530-BAE3-2555A10F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Колесова Маргарита Юрьевна</cp:lastModifiedBy>
  <cp:revision>40</cp:revision>
  <cp:lastPrinted>2022-08-31T05:15:00Z</cp:lastPrinted>
  <dcterms:created xsi:type="dcterms:W3CDTF">2022-06-29T01:32:00Z</dcterms:created>
  <dcterms:modified xsi:type="dcterms:W3CDTF">2023-07-28T06:48:00Z</dcterms:modified>
</cp:coreProperties>
</file>