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Pr="007748BD" w:rsidRDefault="00964BAE" w:rsidP="007F63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748BD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7748BD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 w:rsidRPr="007748BD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="00D75E8A" w:rsidRPr="007748BD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0F7E24" w:rsidRPr="007748BD" w:rsidRDefault="002D5ADF" w:rsidP="007F63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748BD">
        <w:rPr>
          <w:rFonts w:ascii="Times New Roman" w:hAnsi="Times New Roman" w:cs="Times New Roman"/>
          <w:b/>
          <w:color w:val="000000"/>
        </w:rPr>
        <w:t>ЗКЭФ</w:t>
      </w:r>
      <w:r w:rsidR="00996A95" w:rsidRPr="007748BD">
        <w:rPr>
          <w:rFonts w:ascii="Times New Roman" w:hAnsi="Times New Roman" w:cs="Times New Roman"/>
          <w:b/>
          <w:color w:val="000000"/>
        </w:rPr>
        <w:t xml:space="preserve">. </w:t>
      </w:r>
      <w:r w:rsidR="00F74072" w:rsidRPr="007748BD">
        <w:rPr>
          <w:rFonts w:ascii="Times New Roman" w:hAnsi="Times New Roman" w:cs="Times New Roman"/>
          <w:b/>
          <w:color w:val="000000"/>
        </w:rPr>
        <w:t>44</w:t>
      </w:r>
      <w:r w:rsidRPr="007748BD">
        <w:rPr>
          <w:rFonts w:ascii="Times New Roman" w:hAnsi="Times New Roman" w:cs="Times New Roman"/>
          <w:b/>
          <w:color w:val="000000"/>
        </w:rPr>
        <w:t>/</w:t>
      </w:r>
      <w:r w:rsidR="00F86F66" w:rsidRPr="007748BD">
        <w:rPr>
          <w:rFonts w:ascii="Times New Roman" w:hAnsi="Times New Roman" w:cs="Times New Roman"/>
          <w:b/>
          <w:color w:val="000000"/>
        </w:rPr>
        <w:t>22</w:t>
      </w:r>
    </w:p>
    <w:p w:rsidR="007768CC" w:rsidRPr="007748BD" w:rsidRDefault="007768CC" w:rsidP="007F63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F5030" w:rsidRPr="007748BD" w:rsidRDefault="000F7E24" w:rsidP="007F6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748BD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6B04D8" w:rsidRPr="007748BD">
        <w:rPr>
          <w:rFonts w:ascii="Times New Roman" w:eastAsia="Calibri" w:hAnsi="Times New Roman" w:cs="Times New Roman"/>
        </w:rPr>
        <w:t xml:space="preserve">Поставка технических средств реабилитации (электронных стационарных </w:t>
      </w:r>
      <w:proofErr w:type="spellStart"/>
      <w:r w:rsidR="006B04D8" w:rsidRPr="007748BD">
        <w:rPr>
          <w:rFonts w:ascii="Times New Roman" w:eastAsia="Calibri" w:hAnsi="Times New Roman" w:cs="Times New Roman"/>
        </w:rPr>
        <w:t>видеоувеличителей</w:t>
      </w:r>
      <w:proofErr w:type="spellEnd"/>
      <w:r w:rsidR="006B04D8" w:rsidRPr="007748BD">
        <w:rPr>
          <w:rFonts w:ascii="Times New Roman" w:eastAsia="Calibri" w:hAnsi="Times New Roman" w:cs="Times New Roman"/>
        </w:rPr>
        <w:t>) для обеспечения ими в 2022 году инвалидов</w:t>
      </w:r>
      <w:r w:rsidR="00072F7F" w:rsidRPr="007748BD">
        <w:rPr>
          <w:rFonts w:ascii="Times New Roman" w:eastAsia="Calibri" w:hAnsi="Times New Roman" w:cs="Times New Roman"/>
        </w:rPr>
        <w:t>.</w:t>
      </w:r>
    </w:p>
    <w:p w:rsidR="006B04D8" w:rsidRPr="007748BD" w:rsidRDefault="006B04D8" w:rsidP="007F6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10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6663"/>
        <w:gridCol w:w="1350"/>
      </w:tblGrid>
      <w:tr w:rsidR="007748BD" w:rsidRPr="007748BD" w:rsidTr="007748BD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D" w:rsidRPr="007748BD" w:rsidRDefault="007748BD" w:rsidP="0077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Товара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D" w:rsidRPr="007748BD" w:rsidRDefault="007748BD" w:rsidP="0077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lang w:eastAsia="ru-RU"/>
              </w:rPr>
              <w:t>Наименование и описание модификации Товара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D" w:rsidRPr="007748BD" w:rsidRDefault="007748BD" w:rsidP="0077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 w:rsidRPr="007748B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7748BD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Pr="007748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7748BD">
              <w:rPr>
                <w:rFonts w:ascii="Times New Roman" w:eastAsia="Times New Roman" w:hAnsi="Times New Roman" w:cs="Times New Roman"/>
                <w:lang w:eastAsia="ru-RU"/>
              </w:rPr>
              <w:t>шт.)</w:t>
            </w:r>
          </w:p>
        </w:tc>
      </w:tr>
      <w:tr w:rsidR="007748BD" w:rsidRPr="007748BD" w:rsidTr="007748BD">
        <w:trPr>
          <w:trHeight w:val="201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D" w:rsidRPr="007748BD" w:rsidRDefault="007748BD" w:rsidP="007748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7748B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Электронный стационарный </w:t>
            </w:r>
            <w:proofErr w:type="spellStart"/>
            <w:r w:rsidRPr="007748B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видеоувеличитель</w:t>
            </w:r>
            <w:proofErr w:type="spellEnd"/>
            <w:r w:rsidRPr="007748B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</w:t>
            </w:r>
          </w:p>
          <w:p w:rsidR="007748BD" w:rsidRPr="007748BD" w:rsidRDefault="007748BD" w:rsidP="007748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48BD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(ЭСВУ)</w:t>
            </w:r>
          </w:p>
          <w:p w:rsidR="007748BD" w:rsidRPr="007748BD" w:rsidRDefault="007748BD" w:rsidP="007748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D" w:rsidRPr="007748BD" w:rsidRDefault="007748BD" w:rsidP="000E03A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Электронный стационарный </w:t>
            </w:r>
            <w:proofErr w:type="spellStart"/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видеоувеличитель</w:t>
            </w:r>
            <w:proofErr w:type="spellEnd"/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(далее -</w:t>
            </w:r>
            <w:r w:rsidR="0067501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ЭСВУ) должен обеспечивать слабовидящим пользователям с остротой зрения от 0,03 до 0,2 возможность чтения плоскопечатных текстов, рассматривания иллюстраций и мелких объектов, письма и выполнения других ручных работ со зрительным контролем. </w:t>
            </w:r>
          </w:p>
          <w:p w:rsidR="007748BD" w:rsidRPr="007748BD" w:rsidRDefault="007748BD" w:rsidP="000E03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8BD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lang w:eastAsia="ru-RU"/>
              </w:rPr>
              <w:t>ЭСВУ должен иметь следующие технические и функциональные характеристики</w:t>
            </w:r>
            <w:r w:rsidRPr="00774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7748BD" w:rsidRPr="007748BD" w:rsidRDefault="007748BD" w:rsidP="000E03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Регулировка кратности увеличения с автоматической фокусировкой и отображением на экране установленной кратности увеличения: - минимальное значение не менее 2,0 крат; - максимальное значение не менее 70 крат.</w:t>
            </w:r>
          </w:p>
          <w:p w:rsidR="007748BD" w:rsidRPr="007748BD" w:rsidRDefault="007748BD" w:rsidP="000E03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Возможность фиксации выбранной кратности увеличения.</w:t>
            </w:r>
          </w:p>
          <w:p w:rsidR="007748BD" w:rsidRPr="007748BD" w:rsidRDefault="007748BD" w:rsidP="000E03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Локализация участка читаемого текста для последующего просмотра с заданным увеличением.</w:t>
            </w:r>
          </w:p>
          <w:p w:rsidR="007748BD" w:rsidRPr="007748BD" w:rsidRDefault="007748BD" w:rsidP="000E03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Фиксация фокусировки в плоскости бумаги при письме.</w:t>
            </w:r>
          </w:p>
          <w:p w:rsidR="007748BD" w:rsidRPr="007748BD" w:rsidRDefault="007748BD" w:rsidP="000E03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Наличие режимов отображения:</w:t>
            </w:r>
          </w:p>
          <w:p w:rsidR="007748BD" w:rsidRPr="007748BD" w:rsidRDefault="007748BD" w:rsidP="001538DD">
            <w:pPr>
              <w:widowControl w:val="0"/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естественной контрастности – цветной;</w:t>
            </w:r>
          </w:p>
          <w:p w:rsidR="007748BD" w:rsidRPr="007748BD" w:rsidRDefault="007748BD" w:rsidP="001538DD">
            <w:pPr>
              <w:widowControl w:val="0"/>
              <w:tabs>
                <w:tab w:val="left" w:pos="830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высококонтрастный для чтения текста, в том числе: черно-белый позитивный</w:t>
            </w:r>
            <w:r w:rsidRPr="007748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черно-белый негативный</w:t>
            </w:r>
            <w:r w:rsidRPr="007748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цветовые сочетания текста и фона (не менее 15);</w:t>
            </w:r>
          </w:p>
          <w:p w:rsidR="007748BD" w:rsidRPr="007748BD" w:rsidRDefault="007748BD" w:rsidP="000E03A4">
            <w:pPr>
              <w:widowControl w:val="0"/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-функция фиксации изображения (стоп-кадр); </w:t>
            </w:r>
          </w:p>
          <w:p w:rsidR="007748BD" w:rsidRPr="007748BD" w:rsidRDefault="007748BD" w:rsidP="000E03A4">
            <w:pPr>
              <w:widowControl w:val="0"/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BD">
              <w:rPr>
                <w:rFonts w:ascii="Times New Roman" w:eastAsia="Times New Roman" w:hAnsi="Times New Roman" w:cs="Times New Roman"/>
                <w:lang w:eastAsia="ru-RU"/>
              </w:rPr>
              <w:t xml:space="preserve">- функция </w:t>
            </w: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регулировки яркости и контрастности изображения.</w:t>
            </w:r>
          </w:p>
          <w:p w:rsidR="007748BD" w:rsidRPr="007748BD" w:rsidRDefault="007748BD" w:rsidP="000E03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Должно быть выделение читаемого участка текста при помощи горизонтальных линий с регулируемым расстоянием по вертикали.</w:t>
            </w:r>
          </w:p>
          <w:p w:rsidR="007748BD" w:rsidRPr="007748BD" w:rsidRDefault="007748BD" w:rsidP="000E03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Жидкокристаллический монитор с диагональю не менее 20 дюймов.</w:t>
            </w:r>
          </w:p>
          <w:p w:rsidR="007748BD" w:rsidRPr="007748BD" w:rsidRDefault="007748BD" w:rsidP="000E03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Подключение к компьютеру, дополнительному внешнему монитору или видеопроектору ч</w:t>
            </w:r>
            <w:bookmarkStart w:id="0" w:name="_GoBack"/>
            <w:bookmarkEnd w:id="0"/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ерез интерфейсы </w:t>
            </w:r>
            <w:r w:rsidRPr="007748BD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HDMI</w:t>
            </w: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или </w:t>
            </w:r>
            <w:r w:rsidRPr="007748BD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DVI</w:t>
            </w: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748BD" w:rsidRPr="007748BD" w:rsidRDefault="007748BD" w:rsidP="000E03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8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Питание от сети переменного тока 100-240 В, 50-60 Гц.</w:t>
            </w:r>
          </w:p>
          <w:p w:rsidR="007748BD" w:rsidRPr="007748BD" w:rsidRDefault="007748BD" w:rsidP="000E03A4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ru-RU"/>
              </w:rPr>
            </w:pPr>
            <w:r w:rsidRPr="007748BD">
              <w:rPr>
                <w:rFonts w:ascii="Times New Roman" w:eastAsia="Arial Unicode MS" w:hAnsi="Times New Roman" w:cs="Times New Roman"/>
                <w:color w:val="000000"/>
                <w:kern w:val="1"/>
                <w:lang w:eastAsia="ru-RU"/>
              </w:rPr>
              <w:t xml:space="preserve">Вес не более 20 кг. </w:t>
            </w:r>
          </w:p>
          <w:p w:rsidR="007748BD" w:rsidRPr="007748BD" w:rsidRDefault="007748BD" w:rsidP="000E03A4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</w:pPr>
            <w:r w:rsidRPr="007748BD"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  <w:t>Требования к конструкции и эргономике.</w:t>
            </w:r>
          </w:p>
          <w:p w:rsidR="007748BD" w:rsidRPr="007748BD" w:rsidRDefault="007748BD" w:rsidP="000E03A4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</w:pPr>
            <w:r w:rsidRPr="007748BD"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  <w:t>ЭСВУ должно быть выполнено в виде единого конструктивного блока, содержащего монитор, видеокамеру, панель управления, подвижный столик и осветитель.</w:t>
            </w:r>
          </w:p>
          <w:p w:rsidR="007748BD" w:rsidRPr="007748BD" w:rsidRDefault="007748BD" w:rsidP="000E03A4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</w:pPr>
            <w:r w:rsidRPr="007748BD">
              <w:rPr>
                <w:rFonts w:ascii="Times New Roman" w:eastAsia="Arial Unicode MS" w:hAnsi="Times New Roman" w:cs="Times New Roman"/>
                <w:spacing w:val="-7"/>
                <w:kern w:val="1"/>
                <w:lang w:eastAsia="ru-RU"/>
              </w:rPr>
              <w:t>Подвижный столик с возможностью перемещения вперед/назад и вправо/влево.</w:t>
            </w:r>
          </w:p>
          <w:p w:rsidR="007748BD" w:rsidRPr="007748BD" w:rsidRDefault="007748BD" w:rsidP="000E03A4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</w:pPr>
            <w:r w:rsidRPr="007748BD"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  <w:t>Свободная высота над поверхностью столика не менее 170 мм.</w:t>
            </w:r>
          </w:p>
          <w:p w:rsidR="007748BD" w:rsidRPr="007748BD" w:rsidRDefault="007748BD" w:rsidP="000E03A4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</w:pPr>
            <w:r w:rsidRPr="007748BD"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  <w:t>Столик должен иметь на заднем конце ограничитель для фиксации круглых предметов.</w:t>
            </w:r>
          </w:p>
          <w:p w:rsidR="007748BD" w:rsidRPr="007748BD" w:rsidRDefault="007748BD" w:rsidP="000E03A4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</w:pPr>
            <w:r w:rsidRPr="007748BD"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  <w:t>Органы управления должны обеспечивать удобство пользования человеку с пониженным зрением, иметь крупные размеры и контрастные цвета.</w:t>
            </w:r>
          </w:p>
          <w:p w:rsidR="007748BD" w:rsidRPr="007748BD" w:rsidRDefault="007748BD" w:rsidP="000E03A4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</w:pPr>
            <w:r w:rsidRPr="007748BD"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  <w:t>В комплект поставки должно входить:</w:t>
            </w:r>
          </w:p>
          <w:p w:rsidR="007748BD" w:rsidRPr="007748BD" w:rsidRDefault="007748BD" w:rsidP="000E03A4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</w:pPr>
            <w:r w:rsidRPr="007748BD"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  <w:t xml:space="preserve">-электронный стационарный </w:t>
            </w:r>
            <w:proofErr w:type="spellStart"/>
            <w:r w:rsidRPr="007748BD"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  <w:t>видеоувеличитель</w:t>
            </w:r>
            <w:proofErr w:type="spellEnd"/>
            <w:r w:rsidRPr="007748BD"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  <w:t>;</w:t>
            </w:r>
          </w:p>
          <w:p w:rsidR="007748BD" w:rsidRPr="007748BD" w:rsidRDefault="007748BD" w:rsidP="000E03A4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</w:pPr>
            <w:r w:rsidRPr="007748BD"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  <w:t>- сетевой кабель;</w:t>
            </w:r>
          </w:p>
          <w:p w:rsidR="007748BD" w:rsidRPr="007748BD" w:rsidRDefault="007748BD" w:rsidP="000E03A4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</w:pPr>
            <w:r w:rsidRPr="007748BD"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  <w:t>- руководство по эксплуатации и паспорт на русском языке;</w:t>
            </w:r>
          </w:p>
          <w:p w:rsidR="007748BD" w:rsidRPr="007748BD" w:rsidRDefault="007748BD" w:rsidP="000E03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7748BD">
              <w:rPr>
                <w:rFonts w:ascii="Times New Roman" w:eastAsia="Arial Unicode MS" w:hAnsi="Times New Roman" w:cs="Times New Roman"/>
                <w:spacing w:val="-1"/>
                <w:kern w:val="1"/>
                <w:lang w:eastAsia="ru-RU"/>
              </w:rPr>
              <w:t>- упаковочная коробка.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D" w:rsidRPr="007748BD" w:rsidRDefault="007748BD" w:rsidP="00774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7748B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6</w:t>
            </w:r>
          </w:p>
        </w:tc>
      </w:tr>
      <w:tr w:rsidR="007748BD" w:rsidRPr="007748BD" w:rsidTr="000E03A4">
        <w:trPr>
          <w:trHeight w:val="22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D" w:rsidRPr="007748BD" w:rsidRDefault="007748BD" w:rsidP="007748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7748BD">
              <w:rPr>
                <w:rFonts w:ascii="Times New Roman" w:eastAsia="Calibri" w:hAnsi="Times New Roman" w:cs="Times New Roman"/>
                <w:kern w:val="1"/>
                <w:lang w:eastAsia="ru-RU"/>
              </w:rPr>
              <w:t>Итого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D" w:rsidRPr="007748BD" w:rsidRDefault="007748BD" w:rsidP="007748BD">
            <w:pPr>
              <w:widowControl w:val="0"/>
              <w:shd w:val="clear" w:color="auto" w:fill="FFFFFF"/>
              <w:spacing w:after="240" w:line="274" w:lineRule="exac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D" w:rsidRPr="007748BD" w:rsidRDefault="007748BD" w:rsidP="00774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7748B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6</w:t>
            </w:r>
          </w:p>
        </w:tc>
      </w:tr>
    </w:tbl>
    <w:p w:rsidR="007748BD" w:rsidRPr="007748BD" w:rsidRDefault="007748BD" w:rsidP="007748BD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ind w:right="-159"/>
        <w:rPr>
          <w:rFonts w:ascii="Times New Roman" w:eastAsia="Arial Unicode MS" w:hAnsi="Times New Roman" w:cs="Times New Roman"/>
          <w:b/>
          <w:kern w:val="1"/>
          <w:lang w:eastAsia="ru-RU"/>
        </w:rPr>
      </w:pPr>
    </w:p>
    <w:p w:rsidR="000E03A4" w:rsidRDefault="000E03A4" w:rsidP="007748BD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ind w:right="-159"/>
        <w:jc w:val="center"/>
        <w:rPr>
          <w:rFonts w:ascii="Times New Roman" w:eastAsia="Arial Unicode MS" w:hAnsi="Times New Roman" w:cs="Times New Roman"/>
          <w:b/>
          <w:kern w:val="1"/>
          <w:u w:val="single"/>
          <w:lang w:eastAsia="ru-RU"/>
        </w:rPr>
      </w:pPr>
    </w:p>
    <w:p w:rsidR="007748BD" w:rsidRPr="007748BD" w:rsidRDefault="007748BD" w:rsidP="007748BD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ind w:right="-159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b/>
          <w:kern w:val="1"/>
          <w:lang w:eastAsia="ru-RU"/>
        </w:rPr>
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</w:r>
    </w:p>
    <w:p w:rsidR="007748BD" w:rsidRPr="007748BD" w:rsidRDefault="007748BD" w:rsidP="007748BD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ind w:right="-159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eastAsia="ru-RU"/>
        </w:rPr>
      </w:pPr>
    </w:p>
    <w:p w:rsidR="007748BD" w:rsidRPr="007748BD" w:rsidRDefault="007748BD" w:rsidP="007748BD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ind w:right="-159" w:firstLine="709"/>
        <w:rPr>
          <w:rFonts w:ascii="Times New Roman" w:eastAsia="Arial Unicode MS" w:hAnsi="Times New Roman" w:cs="Times New Roman"/>
          <w:b/>
          <w:color w:val="000000"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b/>
          <w:color w:val="000000"/>
          <w:kern w:val="1"/>
          <w:lang w:eastAsia="ru-RU"/>
        </w:rPr>
        <w:t>Требования к качеству, техническим, функциональным характеристикам:</w:t>
      </w:r>
    </w:p>
    <w:p w:rsidR="007748BD" w:rsidRPr="007748BD" w:rsidRDefault="007748BD" w:rsidP="007748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kern w:val="1"/>
          <w:lang w:eastAsia="ru-RU"/>
        </w:rPr>
        <w:t xml:space="preserve">ЭСВУ должен быть новым (не бывшими в употреблении), соответствовать указанным характеристикам и не иметь дефектов, связанных с оформлением, материалами и качеством изготовления. </w:t>
      </w:r>
    </w:p>
    <w:p w:rsidR="007748BD" w:rsidRPr="007748BD" w:rsidRDefault="007748BD" w:rsidP="007748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kern w:val="1"/>
          <w:lang w:eastAsia="ru-RU"/>
        </w:rPr>
        <w:t xml:space="preserve">Не допускаются механические повреждения, загрязнения ЭСВУ. </w:t>
      </w:r>
    </w:p>
    <w:p w:rsidR="007748BD" w:rsidRPr="007748BD" w:rsidRDefault="007748BD" w:rsidP="007748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kern w:val="1"/>
          <w:lang w:eastAsia="ru-RU"/>
        </w:rPr>
        <w:t>ЭСВУ должно соответствовать требованиям Технических регламентов Таможенного Союза: ТР ТС 004/2011 и ТР ТС 020/2011.</w:t>
      </w:r>
    </w:p>
    <w:p w:rsidR="007748BD" w:rsidRPr="007748BD" w:rsidRDefault="007748BD" w:rsidP="007748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Arial Unicode MS" w:hAnsi="Times New Roman" w:cs="Times New Roman"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kern w:val="1"/>
          <w:lang w:eastAsia="ru-RU"/>
        </w:rPr>
        <w:tab/>
        <w:t>Устройства и приспособления, входящие в состав комплекта ЭСВУ, должны быть взаимно совместимы и обеспечивать функционирование комплекта без применения дополнительных (не входящих в состав комплекта) устройств и приспособлений.</w:t>
      </w:r>
    </w:p>
    <w:p w:rsidR="007748BD" w:rsidRPr="007748BD" w:rsidRDefault="007748BD" w:rsidP="007748BD">
      <w:pPr>
        <w:keepNext/>
        <w:keepLines/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b/>
          <w:kern w:val="1"/>
          <w:lang w:eastAsia="ru-RU"/>
        </w:rPr>
        <w:t>Требования к размерам, упаковке, отгрузке товара:</w:t>
      </w:r>
    </w:p>
    <w:p w:rsidR="007748BD" w:rsidRPr="007748BD" w:rsidRDefault="007748BD" w:rsidP="007748BD">
      <w:pPr>
        <w:keepNext/>
        <w:keepLines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kern w:val="1"/>
          <w:lang w:eastAsia="ru-RU"/>
        </w:rPr>
        <w:t>Хранение должно осуществляться в соответствии с требованиями, предъявляемыми к данной категории изделий.</w:t>
      </w:r>
    </w:p>
    <w:p w:rsidR="007748BD" w:rsidRPr="007748BD" w:rsidRDefault="007748BD" w:rsidP="007748BD">
      <w:pPr>
        <w:keepNext/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kern w:val="1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7748BD" w:rsidRPr="007748BD" w:rsidRDefault="007748BD" w:rsidP="007748BD">
      <w:pPr>
        <w:keepNext/>
        <w:keepLines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kern w:val="1"/>
          <w:lang w:eastAsia="ru-RU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748BD" w:rsidRPr="007748BD" w:rsidRDefault="007748BD" w:rsidP="007748BD">
      <w:pPr>
        <w:keepNext/>
        <w:keepLines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kern w:val="1"/>
          <w:lang w:eastAsia="ru-RU"/>
        </w:rPr>
        <w:t>Надписи на упаковке должны быть выполнены на русском языке и содержать информацию о Товаре, в том числе наименование Товара, наименование фирмы-изготовителя, страны происхождения.</w:t>
      </w:r>
    </w:p>
    <w:p w:rsidR="007748BD" w:rsidRPr="007748BD" w:rsidRDefault="007748BD" w:rsidP="007748BD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1"/>
          <w:lang w:eastAsia="ru-RU"/>
        </w:rPr>
      </w:pPr>
      <w:r w:rsidRPr="007748BD">
        <w:rPr>
          <w:rFonts w:ascii="Times New Roman" w:eastAsia="Times New Roman" w:hAnsi="Times New Roman" w:cs="Times New Roman"/>
          <w:b/>
          <w:bCs/>
          <w:kern w:val="1"/>
          <w:lang w:eastAsia="ru-RU"/>
        </w:rPr>
        <w:t>Маркировка, упаковка и отгрузка товара:</w:t>
      </w:r>
    </w:p>
    <w:p w:rsidR="007748BD" w:rsidRPr="007748BD" w:rsidRDefault="007748BD" w:rsidP="007748B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7748BD">
        <w:rPr>
          <w:rFonts w:ascii="Times New Roman" w:eastAsia="Times New Roman" w:hAnsi="Times New Roman" w:cs="Times New Roman"/>
          <w:kern w:val="1"/>
          <w:lang w:eastAsia="ru-RU"/>
        </w:rPr>
        <w:t>ЭСВУ должно быть упаковано в индивидуальную упаковку, предохраняющую от повреждений и загрязнения при транспортировке и хранении. Транспортирование - любым видом крытого транспорта в соответствии с правилами перевозки грузов, действующим на данном виде транспорта, в соответствии с ГОСТ 15150-69.</w:t>
      </w:r>
    </w:p>
    <w:p w:rsidR="007748BD" w:rsidRPr="007748BD" w:rsidRDefault="007748BD" w:rsidP="007748B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7748BD">
        <w:rPr>
          <w:rFonts w:ascii="Times New Roman" w:eastAsia="Times New Roman" w:hAnsi="Times New Roman" w:cs="Times New Roman"/>
          <w:kern w:val="1"/>
          <w:lang w:eastAsia="ru-RU"/>
        </w:rPr>
        <w:t xml:space="preserve">Маркировка, упаковка, хранение и транспортировка изделий к месту выдачи инвалидам (ветеранам) должна осуществляться с соблюдением требований ГОСТ Р 51632-2021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7748BD" w:rsidRPr="007748BD" w:rsidRDefault="007748BD" w:rsidP="007748B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color w:val="000000"/>
          <w:kern w:val="1"/>
          <w:lang w:eastAsia="ru-RU"/>
        </w:rPr>
        <w:t>Маркировка упаковки ЭСВУ должна включать:</w:t>
      </w:r>
    </w:p>
    <w:p w:rsidR="007748BD" w:rsidRPr="007748BD" w:rsidRDefault="007748BD" w:rsidP="007748BD">
      <w:pPr>
        <w:keepLines/>
        <w:widowControl w:val="0"/>
        <w:numPr>
          <w:ilvl w:val="0"/>
          <w:numId w:val="16"/>
        </w:numPr>
        <w:tabs>
          <w:tab w:val="clear" w:pos="720"/>
          <w:tab w:val="left" w:pos="708"/>
        </w:tabs>
        <w:suppressAutoHyphens/>
        <w:spacing w:after="0" w:line="240" w:lineRule="auto"/>
        <w:ind w:left="0" w:firstLine="450"/>
        <w:jc w:val="both"/>
        <w:rPr>
          <w:rFonts w:ascii="Times New Roman" w:eastAsia="Arial Unicode MS" w:hAnsi="Times New Roman" w:cs="Times New Roman"/>
          <w:color w:val="000000"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color w:val="000000"/>
          <w:kern w:val="1"/>
          <w:lang w:eastAsia="ru-RU"/>
        </w:rPr>
        <w:t>страну-изготовителя;</w:t>
      </w:r>
    </w:p>
    <w:p w:rsidR="007748BD" w:rsidRPr="007748BD" w:rsidRDefault="007748BD" w:rsidP="007748BD">
      <w:pPr>
        <w:widowControl w:val="0"/>
        <w:numPr>
          <w:ilvl w:val="0"/>
          <w:numId w:val="16"/>
        </w:numPr>
        <w:tabs>
          <w:tab w:val="clear" w:pos="720"/>
          <w:tab w:val="left" w:pos="708"/>
        </w:tabs>
        <w:suppressAutoHyphens/>
        <w:spacing w:after="0" w:line="240" w:lineRule="auto"/>
        <w:ind w:left="0" w:firstLine="450"/>
        <w:jc w:val="both"/>
        <w:rPr>
          <w:rFonts w:ascii="Times New Roman" w:eastAsia="Arial Unicode MS" w:hAnsi="Times New Roman" w:cs="Times New Roman"/>
          <w:color w:val="000000"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color w:val="000000"/>
          <w:kern w:val="1"/>
          <w:lang w:eastAsia="ru-RU"/>
        </w:rPr>
        <w:t>наименование предприятия-изготовителя, юридический адрес, товарный знак (при наличии);</w:t>
      </w:r>
    </w:p>
    <w:p w:rsidR="007748BD" w:rsidRPr="007748BD" w:rsidRDefault="007748BD" w:rsidP="007748BD">
      <w:pPr>
        <w:keepLines/>
        <w:widowControl w:val="0"/>
        <w:numPr>
          <w:ilvl w:val="0"/>
          <w:numId w:val="15"/>
        </w:numPr>
        <w:tabs>
          <w:tab w:val="clear" w:pos="720"/>
          <w:tab w:val="left" w:pos="708"/>
        </w:tabs>
        <w:suppressAutoHyphens/>
        <w:spacing w:after="0" w:line="240" w:lineRule="auto"/>
        <w:ind w:left="0" w:firstLine="450"/>
        <w:jc w:val="both"/>
        <w:rPr>
          <w:rFonts w:ascii="Times New Roman" w:eastAsia="Arial Unicode MS" w:hAnsi="Times New Roman" w:cs="Times New Roman"/>
          <w:color w:val="000000"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color w:val="000000"/>
          <w:kern w:val="1"/>
          <w:lang w:eastAsia="ru-RU"/>
        </w:rPr>
        <w:t>количество Товара в упаковке;</w:t>
      </w:r>
    </w:p>
    <w:p w:rsidR="007748BD" w:rsidRPr="007748BD" w:rsidRDefault="007748BD" w:rsidP="007748BD">
      <w:pPr>
        <w:widowControl w:val="0"/>
        <w:numPr>
          <w:ilvl w:val="0"/>
          <w:numId w:val="15"/>
        </w:numPr>
        <w:tabs>
          <w:tab w:val="clear" w:pos="720"/>
          <w:tab w:val="left" w:pos="708"/>
        </w:tabs>
        <w:suppressAutoHyphens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7748BD">
        <w:rPr>
          <w:rFonts w:ascii="Times New Roman" w:eastAsia="Times New Roman" w:hAnsi="Times New Roman" w:cs="Times New Roman"/>
          <w:kern w:val="1"/>
          <w:lang w:eastAsia="ru-RU"/>
        </w:rPr>
        <w:t>дату (месяц, год) изготовления или гарантийный срок;</w:t>
      </w:r>
    </w:p>
    <w:p w:rsidR="007748BD" w:rsidRPr="007748BD" w:rsidRDefault="007748BD" w:rsidP="007748BD">
      <w:pPr>
        <w:keepLines/>
        <w:widowControl w:val="0"/>
        <w:numPr>
          <w:ilvl w:val="0"/>
          <w:numId w:val="14"/>
        </w:numPr>
        <w:tabs>
          <w:tab w:val="clear" w:pos="720"/>
          <w:tab w:val="left" w:pos="708"/>
        </w:tabs>
        <w:suppressAutoHyphens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7748BD">
        <w:rPr>
          <w:rFonts w:ascii="Times New Roman" w:eastAsia="Times New Roman" w:hAnsi="Times New Roman" w:cs="Times New Roman"/>
          <w:kern w:val="1"/>
          <w:lang w:eastAsia="ru-RU"/>
        </w:rPr>
        <w:t>правила использования (при необходимости);</w:t>
      </w:r>
    </w:p>
    <w:p w:rsidR="007748BD" w:rsidRPr="007748BD" w:rsidRDefault="007748BD" w:rsidP="007748BD">
      <w:pPr>
        <w:widowControl w:val="0"/>
        <w:numPr>
          <w:ilvl w:val="0"/>
          <w:numId w:val="14"/>
        </w:numPr>
        <w:tabs>
          <w:tab w:val="clear" w:pos="720"/>
          <w:tab w:val="left" w:pos="708"/>
        </w:tabs>
        <w:suppressAutoHyphens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7748BD">
        <w:rPr>
          <w:rFonts w:ascii="Times New Roman" w:eastAsia="Times New Roman" w:hAnsi="Times New Roman" w:cs="Times New Roman"/>
          <w:kern w:val="1"/>
          <w:lang w:eastAsia="ru-RU"/>
        </w:rPr>
        <w:t>штриховой код изделия (при наличии).</w:t>
      </w:r>
    </w:p>
    <w:p w:rsidR="007748BD" w:rsidRPr="007748BD" w:rsidRDefault="007748BD" w:rsidP="007748BD">
      <w:pPr>
        <w:spacing w:after="0" w:line="240" w:lineRule="auto"/>
        <w:ind w:firstLine="450"/>
        <w:jc w:val="both"/>
        <w:rPr>
          <w:rFonts w:ascii="Times New Roman" w:eastAsia="Arial Unicode MS" w:hAnsi="Times New Roman" w:cs="Times New Roman"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kern w:val="1"/>
          <w:lang w:eastAsia="ru-RU"/>
        </w:rPr>
        <w:t xml:space="preserve">Гарантийный срок эксплуатации </w:t>
      </w:r>
      <w:r w:rsidRPr="007748BD">
        <w:rPr>
          <w:rFonts w:ascii="Times New Roman" w:eastAsia="Mangal" w:hAnsi="Times New Roman" w:cs="Times New Roman"/>
          <w:color w:val="000000"/>
          <w:kern w:val="1"/>
          <w:lang w:eastAsia="ru-RU"/>
        </w:rPr>
        <w:t>ЭСВУ</w:t>
      </w:r>
      <w:r w:rsidRPr="007748BD">
        <w:rPr>
          <w:rFonts w:ascii="Times New Roman" w:eastAsia="Arial Unicode MS" w:hAnsi="Times New Roman" w:cs="Times New Roman"/>
          <w:kern w:val="1"/>
          <w:lang w:eastAsia="ru-RU"/>
        </w:rPr>
        <w:t xml:space="preserve"> должен быть не менее 24 месяцев с момента подписания Получателем акта приема-передачи товара, и не может быть меньше установленного изготовителем гарантийного срока эксплуатации. </w:t>
      </w:r>
    </w:p>
    <w:p w:rsidR="007748BD" w:rsidRPr="007748BD" w:rsidRDefault="007748BD" w:rsidP="007748BD">
      <w:pPr>
        <w:spacing w:after="0" w:line="240" w:lineRule="auto"/>
        <w:ind w:firstLine="450"/>
        <w:jc w:val="both"/>
        <w:rPr>
          <w:rFonts w:ascii="Times New Roman" w:eastAsia="Arial Unicode MS" w:hAnsi="Times New Roman" w:cs="Times New Roman"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kern w:val="1"/>
          <w:lang w:eastAsia="ru-RU"/>
        </w:rPr>
        <w:t xml:space="preserve">Срок пользования </w:t>
      </w:r>
      <w:r w:rsidRPr="007748BD">
        <w:rPr>
          <w:rFonts w:ascii="Times New Roman" w:eastAsia="Arial Unicode MS" w:hAnsi="Times New Roman" w:cs="Times New Roman"/>
          <w:color w:val="000000"/>
          <w:spacing w:val="-4"/>
          <w:kern w:val="1"/>
          <w:lang w:eastAsia="ru-RU"/>
        </w:rPr>
        <w:t>ЭСВУ</w:t>
      </w:r>
      <w:r w:rsidRPr="007748BD">
        <w:rPr>
          <w:rFonts w:ascii="Times New Roman" w:eastAsia="Arial Unicode MS" w:hAnsi="Times New Roman" w:cs="Times New Roman"/>
          <w:kern w:val="1"/>
          <w:lang w:eastAsia="ru-RU"/>
        </w:rPr>
        <w:t xml:space="preserve"> должен составлять не менее 7 лет с даты предоставления его Получателю.</w:t>
      </w:r>
    </w:p>
    <w:p w:rsidR="00A96CE2" w:rsidRPr="000E03A4" w:rsidRDefault="007748BD" w:rsidP="000E03A4">
      <w:pPr>
        <w:spacing w:after="0" w:line="240" w:lineRule="auto"/>
        <w:ind w:firstLine="450"/>
        <w:jc w:val="both"/>
        <w:rPr>
          <w:rFonts w:ascii="Times New Roman" w:eastAsia="Arial Unicode MS" w:hAnsi="Times New Roman" w:cs="Times New Roman"/>
          <w:kern w:val="1"/>
          <w:lang w:eastAsia="ru-RU"/>
        </w:rPr>
      </w:pPr>
      <w:r w:rsidRPr="007748BD">
        <w:rPr>
          <w:rFonts w:ascii="Times New Roman" w:eastAsia="Arial Unicode MS" w:hAnsi="Times New Roman" w:cs="Times New Roman"/>
          <w:kern w:val="1"/>
          <w:lang w:eastAsia="ru-RU"/>
        </w:rPr>
        <w:t>Срок выполнения гарантийного ремонта должен составлять не более 20 (двадцати) рабочих дней с момента обращения Получателя устройства.</w:t>
      </w:r>
    </w:p>
    <w:sectPr w:rsidR="00A96CE2" w:rsidRPr="000E03A4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0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11"/>
  </w:num>
  <w:num w:numId="11">
    <w:abstractNumId w:val="15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7435"/>
    <w:rsid w:val="000212D0"/>
    <w:rsid w:val="00072F7F"/>
    <w:rsid w:val="000731C0"/>
    <w:rsid w:val="000771AC"/>
    <w:rsid w:val="000C22F3"/>
    <w:rsid w:val="000E03A4"/>
    <w:rsid w:val="000F7E24"/>
    <w:rsid w:val="00100004"/>
    <w:rsid w:val="00101713"/>
    <w:rsid w:val="00115188"/>
    <w:rsid w:val="00122D3E"/>
    <w:rsid w:val="00137850"/>
    <w:rsid w:val="0014692A"/>
    <w:rsid w:val="001538DD"/>
    <w:rsid w:val="00165F0C"/>
    <w:rsid w:val="00177A4A"/>
    <w:rsid w:val="00183FA6"/>
    <w:rsid w:val="001B309E"/>
    <w:rsid w:val="001F01D0"/>
    <w:rsid w:val="001F27C3"/>
    <w:rsid w:val="002030FD"/>
    <w:rsid w:val="00205119"/>
    <w:rsid w:val="00215A6E"/>
    <w:rsid w:val="002442DE"/>
    <w:rsid w:val="00251EC6"/>
    <w:rsid w:val="002649E7"/>
    <w:rsid w:val="00267EEF"/>
    <w:rsid w:val="002709F9"/>
    <w:rsid w:val="00276BCC"/>
    <w:rsid w:val="00296C38"/>
    <w:rsid w:val="002A5053"/>
    <w:rsid w:val="002A576E"/>
    <w:rsid w:val="002C6ED2"/>
    <w:rsid w:val="002D0766"/>
    <w:rsid w:val="002D20B3"/>
    <w:rsid w:val="002D5ADF"/>
    <w:rsid w:val="002E7FF8"/>
    <w:rsid w:val="0030275A"/>
    <w:rsid w:val="00305607"/>
    <w:rsid w:val="00320D9A"/>
    <w:rsid w:val="00322FCA"/>
    <w:rsid w:val="003301BE"/>
    <w:rsid w:val="003D0358"/>
    <w:rsid w:val="003D4690"/>
    <w:rsid w:val="003E2083"/>
    <w:rsid w:val="003F7031"/>
    <w:rsid w:val="004001DB"/>
    <w:rsid w:val="004250A5"/>
    <w:rsid w:val="00430D39"/>
    <w:rsid w:val="00441812"/>
    <w:rsid w:val="00456FFA"/>
    <w:rsid w:val="00485F59"/>
    <w:rsid w:val="004A26A8"/>
    <w:rsid w:val="004A37AF"/>
    <w:rsid w:val="004A514C"/>
    <w:rsid w:val="004B0D7D"/>
    <w:rsid w:val="004B3E0B"/>
    <w:rsid w:val="004D2D38"/>
    <w:rsid w:val="004D5E5A"/>
    <w:rsid w:val="004E2FF5"/>
    <w:rsid w:val="004E311E"/>
    <w:rsid w:val="00517F13"/>
    <w:rsid w:val="0052688E"/>
    <w:rsid w:val="00560004"/>
    <w:rsid w:val="0058377A"/>
    <w:rsid w:val="00591E8E"/>
    <w:rsid w:val="00594DFB"/>
    <w:rsid w:val="005A613E"/>
    <w:rsid w:val="005B40AD"/>
    <w:rsid w:val="005B533F"/>
    <w:rsid w:val="005D7957"/>
    <w:rsid w:val="00675010"/>
    <w:rsid w:val="00680608"/>
    <w:rsid w:val="00680E68"/>
    <w:rsid w:val="00697EEB"/>
    <w:rsid w:val="006A4C2B"/>
    <w:rsid w:val="006B04D8"/>
    <w:rsid w:val="006D6F8B"/>
    <w:rsid w:val="006F3224"/>
    <w:rsid w:val="007123DA"/>
    <w:rsid w:val="00743F50"/>
    <w:rsid w:val="007555EE"/>
    <w:rsid w:val="007748BD"/>
    <w:rsid w:val="007768CC"/>
    <w:rsid w:val="007A28D7"/>
    <w:rsid w:val="007B79AD"/>
    <w:rsid w:val="007E432B"/>
    <w:rsid w:val="007E455E"/>
    <w:rsid w:val="007F5BF7"/>
    <w:rsid w:val="007F6386"/>
    <w:rsid w:val="00806A61"/>
    <w:rsid w:val="008144BF"/>
    <w:rsid w:val="008173DB"/>
    <w:rsid w:val="008514B5"/>
    <w:rsid w:val="00894701"/>
    <w:rsid w:val="008C48BA"/>
    <w:rsid w:val="008C5DF8"/>
    <w:rsid w:val="008D5943"/>
    <w:rsid w:val="008E5B6A"/>
    <w:rsid w:val="008F211E"/>
    <w:rsid w:val="009038A5"/>
    <w:rsid w:val="009163E6"/>
    <w:rsid w:val="00916638"/>
    <w:rsid w:val="00935B6F"/>
    <w:rsid w:val="0095274F"/>
    <w:rsid w:val="00952FCF"/>
    <w:rsid w:val="009532BB"/>
    <w:rsid w:val="00962F68"/>
    <w:rsid w:val="00964BAE"/>
    <w:rsid w:val="00972549"/>
    <w:rsid w:val="0097365D"/>
    <w:rsid w:val="009763F9"/>
    <w:rsid w:val="009778DC"/>
    <w:rsid w:val="00996A93"/>
    <w:rsid w:val="00996A95"/>
    <w:rsid w:val="009D02E3"/>
    <w:rsid w:val="009D0452"/>
    <w:rsid w:val="009E7BF6"/>
    <w:rsid w:val="00A1413C"/>
    <w:rsid w:val="00A30128"/>
    <w:rsid w:val="00A57899"/>
    <w:rsid w:val="00A61D9E"/>
    <w:rsid w:val="00A708DB"/>
    <w:rsid w:val="00A96CE2"/>
    <w:rsid w:val="00AA34D7"/>
    <w:rsid w:val="00AA39D7"/>
    <w:rsid w:val="00AB336F"/>
    <w:rsid w:val="00AD60E4"/>
    <w:rsid w:val="00AF5030"/>
    <w:rsid w:val="00B02EFF"/>
    <w:rsid w:val="00B325DF"/>
    <w:rsid w:val="00B747C4"/>
    <w:rsid w:val="00B923AE"/>
    <w:rsid w:val="00B970FD"/>
    <w:rsid w:val="00BB3EA2"/>
    <w:rsid w:val="00BD5794"/>
    <w:rsid w:val="00C72500"/>
    <w:rsid w:val="00CA4483"/>
    <w:rsid w:val="00CA5BA0"/>
    <w:rsid w:val="00CB161D"/>
    <w:rsid w:val="00CF444C"/>
    <w:rsid w:val="00D21FC7"/>
    <w:rsid w:val="00D24FD5"/>
    <w:rsid w:val="00D254E3"/>
    <w:rsid w:val="00D501FE"/>
    <w:rsid w:val="00D70344"/>
    <w:rsid w:val="00D75E8A"/>
    <w:rsid w:val="00D828EA"/>
    <w:rsid w:val="00DC21C6"/>
    <w:rsid w:val="00DD16B8"/>
    <w:rsid w:val="00DD6D6A"/>
    <w:rsid w:val="00DE1853"/>
    <w:rsid w:val="00E8392A"/>
    <w:rsid w:val="00E92D49"/>
    <w:rsid w:val="00E975C4"/>
    <w:rsid w:val="00EA385B"/>
    <w:rsid w:val="00EB0D8F"/>
    <w:rsid w:val="00EC049B"/>
    <w:rsid w:val="00EC4199"/>
    <w:rsid w:val="00ED13B0"/>
    <w:rsid w:val="00F17AB1"/>
    <w:rsid w:val="00F27E41"/>
    <w:rsid w:val="00F52536"/>
    <w:rsid w:val="00F74072"/>
    <w:rsid w:val="00F76B92"/>
    <w:rsid w:val="00F86F66"/>
    <w:rsid w:val="00F9584C"/>
    <w:rsid w:val="00FA2E34"/>
    <w:rsid w:val="00FB5E88"/>
    <w:rsid w:val="00FD2963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0446-DBB2-4262-BA5B-24968C14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297</cp:revision>
  <cp:lastPrinted>2022-06-02T08:02:00Z</cp:lastPrinted>
  <dcterms:created xsi:type="dcterms:W3CDTF">2022-01-20T04:41:00Z</dcterms:created>
  <dcterms:modified xsi:type="dcterms:W3CDTF">2022-07-11T07:59:00Z</dcterms:modified>
</cp:coreProperties>
</file>