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Приложение №1 к Извещению о </w:t>
      </w:r>
    </w:p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>проведении электронного аукциона</w:t>
      </w:r>
    </w:p>
    <w:p w:rsidR="00AB28D5" w:rsidRDefault="00AB28D5" w:rsidP="00AB28D5">
      <w:pPr>
        <w:jc w:val="right"/>
        <w:rPr>
          <w:b/>
          <w:bCs/>
          <w:sz w:val="28"/>
          <w:szCs w:val="28"/>
          <w:lang w:eastAsia="ru-RU"/>
        </w:rPr>
      </w:pPr>
    </w:p>
    <w:p w:rsidR="00AB28D5" w:rsidRPr="0093635E" w:rsidRDefault="00AB28D5" w:rsidP="00AB28D5">
      <w:pPr>
        <w:keepNext/>
        <w:jc w:val="center"/>
        <w:rPr>
          <w:b/>
          <w:bCs/>
          <w:lang w:eastAsia="ru-RU"/>
        </w:rPr>
      </w:pPr>
      <w:r w:rsidRPr="0093635E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EE0E46" w:rsidRDefault="00AB28D5" w:rsidP="00AB28D5">
      <w:pPr>
        <w:pStyle w:val="a7"/>
        <w:spacing w:after="0"/>
        <w:ind w:firstLine="708"/>
        <w:jc w:val="both"/>
        <w:rPr>
          <w:sz w:val="22"/>
          <w:szCs w:val="22"/>
        </w:rPr>
      </w:pPr>
    </w:p>
    <w:p w:rsidR="00D17881" w:rsidRPr="00D17881" w:rsidRDefault="0023415B" w:rsidP="006F43CF">
      <w:pPr>
        <w:ind w:firstLine="709"/>
        <w:jc w:val="both"/>
        <w:rPr>
          <w:b/>
        </w:rPr>
      </w:pPr>
      <w:r>
        <w:rPr>
          <w:sz w:val="22"/>
          <w:szCs w:val="22"/>
          <w:u w:val="single"/>
        </w:rPr>
        <w:t>Наименование объекта закупки:</w:t>
      </w:r>
      <w:r w:rsidR="00BD68F9">
        <w:rPr>
          <w:sz w:val="22"/>
          <w:szCs w:val="22"/>
        </w:rPr>
        <w:t xml:space="preserve"> </w:t>
      </w:r>
      <w:r w:rsidR="00D17881" w:rsidRPr="006F43CF">
        <w:t>Поставка транспортного средства (автомобиля) с адаптированными органами управления для застрахованного лица, получившего повреждение здоровья вследствие несчастного случая на производстве в 2022 году</w:t>
      </w:r>
      <w:r w:rsidR="006F43CF">
        <w:t>.</w:t>
      </w:r>
    </w:p>
    <w:p w:rsidR="00D17881" w:rsidRPr="00D17881" w:rsidRDefault="00D17881" w:rsidP="00D17881">
      <w:pPr>
        <w:keepNext/>
        <w:widowControl w:val="0"/>
        <w:ind w:firstLine="426"/>
        <w:jc w:val="both"/>
        <w:rPr>
          <w:b/>
        </w:rPr>
      </w:pPr>
    </w:p>
    <w:p w:rsidR="00D17881" w:rsidRPr="00D17881" w:rsidRDefault="003F342D" w:rsidP="00D17881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>
        <w:rPr>
          <w:b/>
          <w:bCs/>
        </w:rPr>
        <w:t>1</w:t>
      </w:r>
      <w:r w:rsidR="00D17881" w:rsidRPr="00D17881">
        <w:rPr>
          <w:b/>
          <w:bCs/>
        </w:rPr>
        <w:t>. Объект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  <w:gridCol w:w="851"/>
      </w:tblGrid>
      <w:tr w:rsidR="00D17881" w:rsidRPr="00D17881" w:rsidTr="00F67D14">
        <w:tc>
          <w:tcPr>
            <w:tcW w:w="567" w:type="dxa"/>
            <w:shd w:val="clear" w:color="auto" w:fill="auto"/>
          </w:tcPr>
          <w:p w:rsidR="00D17881" w:rsidRPr="00DC1098" w:rsidRDefault="00D17881" w:rsidP="00AE0C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1098">
              <w:rPr>
                <w:sz w:val="22"/>
                <w:szCs w:val="22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:rsidR="00D17881" w:rsidRPr="00DC1098" w:rsidRDefault="00D17881" w:rsidP="00AE0CF2">
            <w:pPr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DC109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17881" w:rsidRPr="00DC1098" w:rsidRDefault="00D17881" w:rsidP="00F67D1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DC1098">
              <w:rPr>
                <w:sz w:val="22"/>
                <w:szCs w:val="22"/>
              </w:rPr>
              <w:t>Кол-во, шт.</w:t>
            </w:r>
          </w:p>
        </w:tc>
      </w:tr>
      <w:tr w:rsidR="00D17881" w:rsidRPr="00D17881" w:rsidTr="00F67D14">
        <w:tc>
          <w:tcPr>
            <w:tcW w:w="567" w:type="dxa"/>
            <w:shd w:val="clear" w:color="auto" w:fill="auto"/>
          </w:tcPr>
          <w:p w:rsidR="00D17881" w:rsidRPr="00DC1098" w:rsidRDefault="00D17881" w:rsidP="00AE0CF2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DC1098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D17881" w:rsidRPr="00DC1098" w:rsidRDefault="00D17881" w:rsidP="00AE0CF2">
            <w:pPr>
              <w:autoSpaceDE w:val="0"/>
              <w:autoSpaceDN w:val="0"/>
              <w:adjustRightInd w:val="0"/>
              <w:ind w:firstLine="426"/>
              <w:jc w:val="center"/>
              <w:rPr>
                <w:sz w:val="22"/>
                <w:szCs w:val="22"/>
              </w:rPr>
            </w:pPr>
            <w:r w:rsidRPr="00DC1098">
              <w:rPr>
                <w:sz w:val="22"/>
                <w:szCs w:val="22"/>
              </w:rPr>
              <w:t>Транспортное средство (автомобиль) с адаптированными органами управления, предназначенный для застрахованного лица, получившего повреждение здоровья вследствие несчастного случая на производстве - автомобиль с адаптированными органами управления, предназначенный для застрахованного лица, получившего повреждение здоровья вследствие несчастного случая на производстве или профессионального заболевания (без обеих ног)</w:t>
            </w:r>
          </w:p>
        </w:tc>
        <w:tc>
          <w:tcPr>
            <w:tcW w:w="851" w:type="dxa"/>
            <w:shd w:val="clear" w:color="auto" w:fill="auto"/>
          </w:tcPr>
          <w:p w:rsidR="00D17881" w:rsidRPr="00DC1098" w:rsidRDefault="00D17881" w:rsidP="00AE0CF2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DC1098">
              <w:rPr>
                <w:sz w:val="22"/>
                <w:szCs w:val="22"/>
              </w:rPr>
              <w:t>1</w:t>
            </w:r>
          </w:p>
        </w:tc>
      </w:tr>
      <w:tr w:rsidR="00D17881" w:rsidRPr="00D17881" w:rsidTr="00F67D14">
        <w:tc>
          <w:tcPr>
            <w:tcW w:w="567" w:type="dxa"/>
            <w:shd w:val="clear" w:color="auto" w:fill="auto"/>
          </w:tcPr>
          <w:p w:rsidR="00D17881" w:rsidRPr="00DC1098" w:rsidRDefault="00D17881" w:rsidP="00AE0CF2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D17881" w:rsidRPr="00DC1098" w:rsidRDefault="00D17881" w:rsidP="00AE0CF2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DC1098"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D17881" w:rsidRPr="00DC1098" w:rsidRDefault="00D17881" w:rsidP="00AE0CF2">
            <w:pPr>
              <w:autoSpaceDE w:val="0"/>
              <w:autoSpaceDN w:val="0"/>
              <w:adjustRightInd w:val="0"/>
              <w:ind w:firstLine="426"/>
              <w:jc w:val="both"/>
              <w:rPr>
                <w:sz w:val="22"/>
                <w:szCs w:val="22"/>
              </w:rPr>
            </w:pPr>
            <w:r w:rsidRPr="00DC1098">
              <w:rPr>
                <w:sz w:val="22"/>
                <w:szCs w:val="22"/>
              </w:rPr>
              <w:t>1</w:t>
            </w:r>
          </w:p>
        </w:tc>
      </w:tr>
    </w:tbl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</w:p>
    <w:p w:rsidR="00D17881" w:rsidRPr="00D17881" w:rsidRDefault="00276AE0" w:rsidP="00D17881">
      <w:pPr>
        <w:autoSpaceDE w:val="0"/>
        <w:autoSpaceDN w:val="0"/>
        <w:adjustRightInd w:val="0"/>
        <w:ind w:firstLine="426"/>
        <w:jc w:val="center"/>
      </w:pPr>
      <w:r>
        <w:rPr>
          <w:b/>
          <w:bCs/>
        </w:rPr>
        <w:t>2</w:t>
      </w:r>
      <w:r w:rsidR="00D17881" w:rsidRPr="00D17881">
        <w:rPr>
          <w:b/>
          <w:bCs/>
        </w:rPr>
        <w:t>. Требования к условиям поставки:</w:t>
      </w:r>
    </w:p>
    <w:p w:rsidR="00276AE0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Транспортное средство (далее – автомобиль) с адаптированными органами управления,</w:t>
      </w:r>
      <w:r w:rsidRPr="00D17881">
        <w:rPr>
          <w:bCs/>
        </w:rPr>
        <w:t xml:space="preserve"> предназначенное для застрахованного лица, получившего повреждение здоровья вследствие несчастного случая на производстве и профессионального заболевания, используемое для его реабилитации</w:t>
      </w:r>
      <w:r w:rsidRPr="00D17881">
        <w:t xml:space="preserve"> (далее – Товар)</w:t>
      </w:r>
      <w:r w:rsidRPr="00D17881">
        <w:rPr>
          <w:color w:val="FF0000"/>
        </w:rPr>
        <w:t xml:space="preserve"> </w:t>
      </w:r>
      <w:r w:rsidRPr="00D17881">
        <w:t xml:space="preserve">должно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ОКДП2 - 29.10.59.390.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Соответствие автомобиля и его компонентов ТР ТС 018/2011 подтверждено маркировкой единым знаком обращения продукции на рынке.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Автомобиль  соответствует Коду по Общероссийскому классификатору продукции по видам экономической деятельности ОК 034-2014 (КПЕС 2008),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 (в соответствии с  Постановлением Правительства Российской Федерации от 30.09.2015 года № 1042).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Автомобиль является легковым.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Автомобиль новый, ранее не бывший в эксплуатации.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Автомобиль 2022 года изготовления.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Автомобиль, предназначен для лица с ограниченными физическими возможностями, с различными нарушениями функций (без обеих ног) по требованию Заказчика оборудован специальными средствами управления (адаптированными органами управления).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Специальные средства управления (адаптированные органы управления) на автомобиле изготовлены и установлены промышленным способом.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Специальные средства управления (адаптированные органы управления) имеют сертификат соответствия и сертифицированы в составе автомобиля.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Комплект документов на автомобиль находится внутри автомобиля. Автомобиль заправлен бензином, предусмотренным в одобрении типа транспортного средства, в объеме не менее 5 литров.</w:t>
      </w:r>
    </w:p>
    <w:p w:rsidR="00D17881" w:rsidRPr="00D17881" w:rsidRDefault="00276AE0" w:rsidP="00D17881">
      <w:pPr>
        <w:autoSpaceDE w:val="0"/>
        <w:autoSpaceDN w:val="0"/>
        <w:adjustRightInd w:val="0"/>
        <w:ind w:firstLine="426"/>
        <w:jc w:val="center"/>
      </w:pPr>
      <w:r>
        <w:rPr>
          <w:b/>
          <w:bCs/>
        </w:rPr>
        <w:t>3</w:t>
      </w:r>
      <w:r w:rsidR="00D17881" w:rsidRPr="00D17881">
        <w:rPr>
          <w:b/>
          <w:bCs/>
        </w:rPr>
        <w:t>. Требования к документам, подтверждающим соответствие автомобилей установленным требованиям: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Одобрение типа транспортного средства, выданное в соответствии с требованиями ТР ТС 018/2011.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lastRenderedPageBreak/>
        <w:t>Сертификат соответствия на устройство ручного управления автомобиля категории М1 (для лица с ограниченными физическими возможностями с различными уровнями поражений (без обеих ног).</w:t>
      </w:r>
    </w:p>
    <w:p w:rsidR="00D17881" w:rsidRPr="00D17881" w:rsidRDefault="00276AE0" w:rsidP="00D17881">
      <w:pPr>
        <w:autoSpaceDE w:val="0"/>
        <w:autoSpaceDN w:val="0"/>
        <w:adjustRightInd w:val="0"/>
        <w:ind w:firstLine="426"/>
        <w:jc w:val="center"/>
      </w:pPr>
      <w:r>
        <w:rPr>
          <w:b/>
          <w:bCs/>
        </w:rPr>
        <w:t>4</w:t>
      </w:r>
      <w:r w:rsidR="00D17881" w:rsidRPr="00D17881">
        <w:rPr>
          <w:b/>
          <w:bCs/>
        </w:rPr>
        <w:t>. Документы, передаваемые вместе с автомобилем: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• гарантийный талон на автомобиль;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• выписка из электронного паспорта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• сервисная книжка;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• руководство по эксплуатации автомобиля;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• договор между Заказчиком (страховщиком), Поставщиком и Получателем (застрахованным лицом) о приобретении Получателем (застрахованным лицом) автомобиля и оплате его стоимости Заказчиком (страховщиком);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• копия одобрения типа транспортного средства;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•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(без обеих ног);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автомобиля.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</w:p>
    <w:p w:rsidR="00D17881" w:rsidRPr="00D17881" w:rsidRDefault="00685AD3" w:rsidP="00D17881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>
        <w:rPr>
          <w:b/>
          <w:bCs/>
        </w:rPr>
        <w:t>5</w:t>
      </w:r>
      <w:r w:rsidR="00D17881" w:rsidRPr="00D17881">
        <w:rPr>
          <w:b/>
          <w:bCs/>
        </w:rPr>
        <w:t>. Требования к техническим характеристикам товара: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3544"/>
        <w:gridCol w:w="1276"/>
      </w:tblGrid>
      <w:tr w:rsidR="00D17881" w:rsidRPr="00D17881" w:rsidTr="004D002C">
        <w:tc>
          <w:tcPr>
            <w:tcW w:w="2660" w:type="dxa"/>
            <w:vMerge w:val="restart"/>
            <w:shd w:val="clear" w:color="auto" w:fill="auto"/>
          </w:tcPr>
          <w:p w:rsidR="00D17881" w:rsidRPr="004D002C" w:rsidRDefault="00D17881" w:rsidP="00AE0CF2">
            <w:pPr>
              <w:jc w:val="center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Описание Товара</w:t>
            </w:r>
          </w:p>
        </w:tc>
      </w:tr>
      <w:tr w:rsidR="00D17881" w:rsidRPr="00D17881" w:rsidTr="004D002C">
        <w:tc>
          <w:tcPr>
            <w:tcW w:w="2660" w:type="dxa"/>
            <w:vMerge/>
            <w:shd w:val="clear" w:color="auto" w:fill="auto"/>
          </w:tcPr>
          <w:p w:rsidR="00D17881" w:rsidRPr="004D002C" w:rsidRDefault="00D17881" w:rsidP="00AE0C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17881" w:rsidRPr="004D002C" w:rsidRDefault="00D17881" w:rsidP="00AE0CF2">
            <w:pPr>
              <w:jc w:val="center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Наименование характеристик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Показатели характеристик</w:t>
            </w:r>
          </w:p>
        </w:tc>
      </w:tr>
      <w:tr w:rsidR="00D17881" w:rsidRPr="00D17881" w:rsidTr="004D002C">
        <w:trPr>
          <w:trHeight w:val="6088"/>
        </w:trPr>
        <w:tc>
          <w:tcPr>
            <w:tcW w:w="2660" w:type="dxa"/>
            <w:shd w:val="clear" w:color="auto" w:fill="auto"/>
          </w:tcPr>
          <w:p w:rsidR="00D17881" w:rsidRPr="004D002C" w:rsidRDefault="00D17881" w:rsidP="00AE0CF2">
            <w:pPr>
              <w:rPr>
                <w:bCs/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 xml:space="preserve">Транспортное средство (автомобиль) </w:t>
            </w:r>
            <w:r w:rsidRPr="004D002C">
              <w:rPr>
                <w:bCs/>
                <w:sz w:val="22"/>
                <w:szCs w:val="22"/>
              </w:rPr>
              <w:t>с адаптированными органами управления, предназначенный для застрахованного лица, получившего повреждение здоровья вследствие несчастного случая на производстве.</w:t>
            </w:r>
          </w:p>
          <w:p w:rsidR="00D17881" w:rsidRPr="004D002C" w:rsidRDefault="00D17881" w:rsidP="00AE0CF2">
            <w:pPr>
              <w:rPr>
                <w:bCs/>
                <w:sz w:val="22"/>
                <w:szCs w:val="22"/>
              </w:rPr>
            </w:pPr>
          </w:p>
          <w:p w:rsidR="00D17881" w:rsidRPr="004D002C" w:rsidRDefault="00D17881" w:rsidP="00AE0CF2">
            <w:pPr>
              <w:rPr>
                <w:bCs/>
                <w:sz w:val="22"/>
                <w:szCs w:val="22"/>
              </w:rPr>
            </w:pPr>
            <w:r w:rsidRPr="004D002C">
              <w:rPr>
                <w:bCs/>
                <w:sz w:val="22"/>
                <w:szCs w:val="22"/>
              </w:rPr>
              <w:t>КОЗ 01.29.24.04.03 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</w:t>
            </w:r>
          </w:p>
          <w:p w:rsidR="00D17881" w:rsidRPr="004D002C" w:rsidRDefault="00D17881" w:rsidP="00AE0CF2">
            <w:pPr>
              <w:rPr>
                <w:sz w:val="22"/>
                <w:szCs w:val="22"/>
              </w:rPr>
            </w:pPr>
            <w:r w:rsidRPr="004D002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Категория автомобиля</w:t>
            </w: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Тип кузова</w:t>
            </w: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Количество дверей</w:t>
            </w: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Колесная формула/ведущие колеса</w:t>
            </w: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Схема компоновки автомобиля</w:t>
            </w: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Расположение двигателя</w:t>
            </w: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Тип двигателя</w:t>
            </w: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Трансмиссия (тип)</w:t>
            </w: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Коробка передач (тип)</w:t>
            </w: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 xml:space="preserve">Двигатель внутреннего сгорания (рабочий объем) </w:t>
            </w: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Топли</w:t>
            </w:r>
            <w:r w:rsidR="004D002C">
              <w:rPr>
                <w:sz w:val="22"/>
                <w:szCs w:val="22"/>
              </w:rPr>
              <w:t>во</w:t>
            </w:r>
          </w:p>
        </w:tc>
        <w:tc>
          <w:tcPr>
            <w:tcW w:w="3544" w:type="dxa"/>
            <w:shd w:val="clear" w:color="auto" w:fill="auto"/>
          </w:tcPr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М1</w:t>
            </w:r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 xml:space="preserve">Седан или </w:t>
            </w:r>
            <w:proofErr w:type="spellStart"/>
            <w:r w:rsidRPr="004D002C">
              <w:rPr>
                <w:sz w:val="22"/>
                <w:szCs w:val="22"/>
              </w:rPr>
              <w:t>хэтчбек</w:t>
            </w:r>
            <w:proofErr w:type="spellEnd"/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Не менее 4-х</w:t>
            </w:r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4 х 2 / передние</w:t>
            </w:r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  <w:proofErr w:type="spellStart"/>
            <w:r w:rsidRPr="004D002C">
              <w:rPr>
                <w:sz w:val="22"/>
                <w:szCs w:val="22"/>
              </w:rPr>
              <w:t>Переднеприводная</w:t>
            </w:r>
            <w:proofErr w:type="spellEnd"/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Переднее поперечное</w:t>
            </w:r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Четырехтактный, бензиновый</w:t>
            </w:r>
          </w:p>
          <w:p w:rsidR="00BE7CCC" w:rsidRDefault="00BE7CCC" w:rsidP="00AE0CF2">
            <w:pPr>
              <w:keepNext/>
              <w:ind w:right="61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Механическая</w:t>
            </w:r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С механическим управлением</w:t>
            </w:r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</w:p>
          <w:p w:rsidR="00BE7CCC" w:rsidRDefault="00BE7CCC" w:rsidP="00AE0CF2">
            <w:pPr>
              <w:keepNext/>
              <w:ind w:right="61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Более 1500 куб. см., но не более 1800 куб. см.</w:t>
            </w:r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keepNext/>
              <w:ind w:right="61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Бензин с октановым числом не менее 95</w:t>
            </w:r>
          </w:p>
        </w:tc>
        <w:tc>
          <w:tcPr>
            <w:tcW w:w="1276" w:type="dxa"/>
            <w:shd w:val="clear" w:color="auto" w:fill="auto"/>
          </w:tcPr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Наличие</w:t>
            </w: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Наличие</w:t>
            </w: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Наличие</w:t>
            </w: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Наличие</w:t>
            </w: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Наличие</w:t>
            </w: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Наличие</w:t>
            </w: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Наличие</w:t>
            </w: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Наличие</w:t>
            </w: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Наличие</w:t>
            </w: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Наличие</w:t>
            </w: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  <w:r w:rsidRPr="004D002C">
              <w:rPr>
                <w:sz w:val="22"/>
                <w:szCs w:val="22"/>
              </w:rPr>
              <w:t>Наличие</w:t>
            </w:r>
          </w:p>
          <w:p w:rsidR="00D17881" w:rsidRPr="004D002C" w:rsidRDefault="00D17881" w:rsidP="00AE0CF2">
            <w:pPr>
              <w:ind w:right="175"/>
              <w:jc w:val="center"/>
              <w:rPr>
                <w:sz w:val="22"/>
                <w:szCs w:val="22"/>
              </w:rPr>
            </w:pPr>
          </w:p>
        </w:tc>
      </w:tr>
    </w:tbl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D17881" w:rsidRPr="00D17881" w:rsidRDefault="007E707D" w:rsidP="00D17881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>
        <w:rPr>
          <w:b/>
          <w:bCs/>
        </w:rPr>
        <w:t>6</w:t>
      </w:r>
      <w:r w:rsidR="00D17881" w:rsidRPr="00D17881">
        <w:rPr>
          <w:b/>
          <w:bCs/>
        </w:rPr>
        <w:t>. Условия передачи и приемки автомобиля: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D17881">
        <w:tab/>
        <w:t>Передача автомобиля должна осуществляться со склада Поставщика (представителя Поставщика, действующего на основании доверенности) при представлении Получателем (его доверенным лицом) паспорта и Направления, выдаваемого Заказчиком.</w:t>
      </w:r>
    </w:p>
    <w:p w:rsidR="00D17881" w:rsidRDefault="00D17881" w:rsidP="00D17881">
      <w:pPr>
        <w:autoSpaceDE w:val="0"/>
        <w:autoSpaceDN w:val="0"/>
        <w:adjustRightInd w:val="0"/>
        <w:ind w:firstLine="426"/>
        <w:jc w:val="both"/>
      </w:pPr>
    </w:p>
    <w:p w:rsidR="007E707D" w:rsidRDefault="007E707D" w:rsidP="00D17881">
      <w:pPr>
        <w:autoSpaceDE w:val="0"/>
        <w:autoSpaceDN w:val="0"/>
        <w:adjustRightInd w:val="0"/>
        <w:ind w:firstLine="426"/>
        <w:jc w:val="both"/>
      </w:pPr>
    </w:p>
    <w:p w:rsidR="007E707D" w:rsidRPr="00D17881" w:rsidRDefault="007E707D" w:rsidP="00D17881">
      <w:pPr>
        <w:autoSpaceDE w:val="0"/>
        <w:autoSpaceDN w:val="0"/>
        <w:adjustRightInd w:val="0"/>
        <w:ind w:firstLine="426"/>
        <w:jc w:val="both"/>
      </w:pPr>
    </w:p>
    <w:p w:rsidR="00D17881" w:rsidRPr="00D17881" w:rsidRDefault="00AB635F" w:rsidP="00D17881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D17881" w:rsidRPr="00D17881">
        <w:rPr>
          <w:b/>
          <w:bCs/>
        </w:rPr>
        <w:t>. Место поставки автомобиля: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D17881">
        <w:rPr>
          <w:bCs/>
        </w:rPr>
        <w:tab/>
        <w:t>Р</w:t>
      </w:r>
      <w:r w:rsidR="009958BC">
        <w:rPr>
          <w:bCs/>
        </w:rPr>
        <w:t>оссийская Федерация</w:t>
      </w:r>
      <w:r w:rsidRPr="00D17881">
        <w:rPr>
          <w:bCs/>
        </w:rPr>
        <w:t>, Республика Бурятия. Поставка Товара осуществляется в организованном пункте выдачи (склад Поставщика (его представителя) на условиях DDP.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center"/>
        <w:rPr>
          <w:b/>
          <w:bCs/>
        </w:rPr>
      </w:pPr>
    </w:p>
    <w:p w:rsidR="00D17881" w:rsidRPr="00D17881" w:rsidRDefault="00AB635F" w:rsidP="00D17881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>
        <w:rPr>
          <w:b/>
          <w:bCs/>
        </w:rPr>
        <w:t>8</w:t>
      </w:r>
      <w:r w:rsidR="00D17881" w:rsidRPr="00D17881">
        <w:rPr>
          <w:b/>
          <w:bCs/>
        </w:rPr>
        <w:t>. Порядок формирования цены: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ab/>
        <w:t>Цена Контракта (Договора) включает в себя: стоимость Товара, расходы, связанные с доставкой, разгрузкой-погрузкой, размещением в местах хранения Поставщика, стоимость упаковки (тары), маркировки, страхование, таможенные платежи (пошлины), налоги (без учета НДС), другие установленные налоги, сборы и иные расходы, связанные с исполнением Контракта (Договора).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Цена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автомобиля, оформление всех документов, необходимых для постановки автомобиля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</w:p>
    <w:p w:rsidR="00D17881" w:rsidRPr="00D17881" w:rsidRDefault="00AB635F" w:rsidP="00D17881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>
        <w:rPr>
          <w:b/>
          <w:bCs/>
        </w:rPr>
        <w:t>9</w:t>
      </w:r>
      <w:r w:rsidR="00D17881" w:rsidRPr="00D17881">
        <w:rPr>
          <w:b/>
          <w:bCs/>
        </w:rPr>
        <w:t>. Обязательные условия: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Заказчик передает Реестр получателя Товара Поставщику необходимый для обеспечения застрахованного лица автомобилем.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При выдаче Товара Получателю Поставщик оформляет следующие документы: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• Акт сдачи-приемки Товара Получателем;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• 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Не позднее 3 дней с момента поступления, Поставщик обязан сообщить Заказчику о факте поступления автомобиля на склад Поставщика (представителя Поставщика) и обеспечить бесплатное хранение автомобиля не менее чем 10 дней до даты поставки Заказчику.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Поставка осуществляется на основании направления страховщика. При повторном обеспечении автомобилем срок наступает не чаще 7 (семи) лет с даты обеспечения предыдущим автомобилем.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</w:p>
    <w:p w:rsidR="00D17881" w:rsidRPr="00D17881" w:rsidRDefault="00AB635F" w:rsidP="00D17881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>
        <w:rPr>
          <w:b/>
          <w:bCs/>
        </w:rPr>
        <w:t>10</w:t>
      </w:r>
      <w:r w:rsidR="00D17881" w:rsidRPr="00D17881">
        <w:rPr>
          <w:b/>
          <w:bCs/>
        </w:rPr>
        <w:t>. Срок поставки товара не позднее 01.12.2022 года включительно: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 xml:space="preserve">Передача Поставщиком Товара Получателю осуществляется в </w:t>
      </w:r>
      <w:r w:rsidR="00194C39">
        <w:t xml:space="preserve">срок </w:t>
      </w:r>
      <w:bookmarkStart w:id="0" w:name="_GoBack"/>
      <w:bookmarkEnd w:id="0"/>
      <w:r w:rsidRPr="00D17881">
        <w:t>не более 30 календарных дней, с даты получения Поставщиком Реестра на Получателя от Заказчика или Направления от Получателя.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 xml:space="preserve">Направление принимается Поставщиком не позднее 01.11.2022г. 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</w:p>
    <w:p w:rsidR="00D17881" w:rsidRPr="00D17881" w:rsidRDefault="00AB635F" w:rsidP="00D17881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>
        <w:rPr>
          <w:b/>
          <w:bCs/>
        </w:rPr>
        <w:t>11</w:t>
      </w:r>
      <w:r w:rsidR="00D17881" w:rsidRPr="00D17881">
        <w:rPr>
          <w:b/>
          <w:bCs/>
        </w:rPr>
        <w:t>. Требования к сроку и объему предоставления гарантий на товар: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Гарантия на Товар составляет 36 месяцев или 100 000 км (сто тысяч километров) пробега (в зависимости от того, что наступит раньше), с момента передачи его Заказчику.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В соответствии с Сервисной книжкой на Товар, а также на отдельные его комплектующие изделия и элементы устанавливаться гарантия в пределах 12 (двенадцати) месяцев вне зависимости от пробега.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Гарантия на дополнительное оборудование, устанавливаемое Поставщиком и передаваемое им по заявке Заказчика вместе с Товаром, составляет 6 (шесть)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Условия и порядок гарантийного обслуживания Товара указано в Сервисной книжке, выдаваемой Заказчику при фактической передачи Товара.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lastRenderedPageBreak/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</w:p>
    <w:p w:rsidR="00D17881" w:rsidRPr="00D17881" w:rsidRDefault="00AB635F" w:rsidP="00D17881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>
        <w:rPr>
          <w:b/>
          <w:bCs/>
        </w:rPr>
        <w:t>12</w:t>
      </w:r>
      <w:r w:rsidR="00D17881" w:rsidRPr="00D17881">
        <w:rPr>
          <w:b/>
          <w:bCs/>
        </w:rPr>
        <w:t>. Требования к качеству товара: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Условия перевозки Товара полностью обеспечивают полную его сохранность от всякого рода повреждений при транспортировке.</w:t>
      </w:r>
    </w:p>
    <w:p w:rsidR="00D17881" w:rsidRPr="00D17881" w:rsidRDefault="00D17881" w:rsidP="00D17881">
      <w:pPr>
        <w:autoSpaceDE w:val="0"/>
        <w:autoSpaceDN w:val="0"/>
        <w:adjustRightInd w:val="0"/>
        <w:ind w:firstLine="426"/>
        <w:jc w:val="both"/>
      </w:pPr>
      <w:r w:rsidRPr="00D17881">
        <w:t>Качество и маркировка Товара соответствуют требованиям ТР ТС 018/2011.</w:t>
      </w:r>
    </w:p>
    <w:p w:rsidR="00BD68F9" w:rsidRPr="00D17881" w:rsidRDefault="00D17881" w:rsidP="0057280B">
      <w:pPr>
        <w:autoSpaceDE w:val="0"/>
        <w:autoSpaceDN w:val="0"/>
        <w:adjustRightInd w:val="0"/>
        <w:ind w:firstLine="426"/>
        <w:jc w:val="both"/>
      </w:pPr>
      <w:r w:rsidRPr="00D17881">
        <w:t>При поставке некачественного Товара Поставщик обязан заменить его на Товар надлежащего качества при получении мотивированного отказа Получателя от подписания Акта сдачи-приемки Товара.</w:t>
      </w:r>
    </w:p>
    <w:p w:rsidR="00631EF3" w:rsidRPr="00D17881" w:rsidRDefault="00631EF3" w:rsidP="00631EF3">
      <w:pPr>
        <w:pStyle w:val="af5"/>
        <w:widowControl w:val="0"/>
        <w:ind w:right="1132"/>
      </w:pPr>
    </w:p>
    <w:sectPr w:rsidR="00631EF3" w:rsidRPr="00D17881" w:rsidSect="007F5B73">
      <w:pgSz w:w="11906" w:h="16838"/>
      <w:pgMar w:top="568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74CE"/>
    <w:multiLevelType w:val="hybridMultilevel"/>
    <w:tmpl w:val="B6324294"/>
    <w:lvl w:ilvl="0" w:tplc="F2322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154C9"/>
    <w:rsid w:val="000168E9"/>
    <w:rsid w:val="0002084C"/>
    <w:rsid w:val="0002514D"/>
    <w:rsid w:val="000260AE"/>
    <w:rsid w:val="00047162"/>
    <w:rsid w:val="000515B7"/>
    <w:rsid w:val="00052CC5"/>
    <w:rsid w:val="00063576"/>
    <w:rsid w:val="0006358F"/>
    <w:rsid w:val="0007001A"/>
    <w:rsid w:val="000702EE"/>
    <w:rsid w:val="00070C0B"/>
    <w:rsid w:val="00074BB6"/>
    <w:rsid w:val="00083DE6"/>
    <w:rsid w:val="000861A5"/>
    <w:rsid w:val="00086E6A"/>
    <w:rsid w:val="00095915"/>
    <w:rsid w:val="000A142C"/>
    <w:rsid w:val="000A71F2"/>
    <w:rsid w:val="000B2DF1"/>
    <w:rsid w:val="000C05D8"/>
    <w:rsid w:val="000C6FD1"/>
    <w:rsid w:val="000D4CED"/>
    <w:rsid w:val="000E2E26"/>
    <w:rsid w:val="000F5089"/>
    <w:rsid w:val="000F6285"/>
    <w:rsid w:val="00107244"/>
    <w:rsid w:val="00107977"/>
    <w:rsid w:val="00113D64"/>
    <w:rsid w:val="00115692"/>
    <w:rsid w:val="00115BD6"/>
    <w:rsid w:val="001201D5"/>
    <w:rsid w:val="0013011A"/>
    <w:rsid w:val="00134FE3"/>
    <w:rsid w:val="00160D7F"/>
    <w:rsid w:val="0018219D"/>
    <w:rsid w:val="00187175"/>
    <w:rsid w:val="0019421B"/>
    <w:rsid w:val="00194C39"/>
    <w:rsid w:val="001A1DB4"/>
    <w:rsid w:val="001A7630"/>
    <w:rsid w:val="001B3E11"/>
    <w:rsid w:val="001C3AA2"/>
    <w:rsid w:val="001D121E"/>
    <w:rsid w:val="001D4F7D"/>
    <w:rsid w:val="001E1BAF"/>
    <w:rsid w:val="001E4E58"/>
    <w:rsid w:val="001E706C"/>
    <w:rsid w:val="001F143A"/>
    <w:rsid w:val="001F304F"/>
    <w:rsid w:val="001F60B1"/>
    <w:rsid w:val="001F6969"/>
    <w:rsid w:val="001F7D18"/>
    <w:rsid w:val="002200D5"/>
    <w:rsid w:val="00224831"/>
    <w:rsid w:val="00224B5D"/>
    <w:rsid w:val="00224BEC"/>
    <w:rsid w:val="00225FA5"/>
    <w:rsid w:val="002329FC"/>
    <w:rsid w:val="0023415B"/>
    <w:rsid w:val="00234AFE"/>
    <w:rsid w:val="00236F11"/>
    <w:rsid w:val="002541EE"/>
    <w:rsid w:val="00254BAE"/>
    <w:rsid w:val="00262500"/>
    <w:rsid w:val="0026393A"/>
    <w:rsid w:val="00276AE0"/>
    <w:rsid w:val="00286299"/>
    <w:rsid w:val="002A1C8A"/>
    <w:rsid w:val="002A23D0"/>
    <w:rsid w:val="002A7E53"/>
    <w:rsid w:val="002B067A"/>
    <w:rsid w:val="002C1DDE"/>
    <w:rsid w:val="002C22D5"/>
    <w:rsid w:val="002F3FFD"/>
    <w:rsid w:val="002F735F"/>
    <w:rsid w:val="003026B4"/>
    <w:rsid w:val="00306329"/>
    <w:rsid w:val="00343140"/>
    <w:rsid w:val="003510C3"/>
    <w:rsid w:val="00357E0E"/>
    <w:rsid w:val="0037680B"/>
    <w:rsid w:val="00387977"/>
    <w:rsid w:val="00395E64"/>
    <w:rsid w:val="00397AF6"/>
    <w:rsid w:val="003A592E"/>
    <w:rsid w:val="003B3C60"/>
    <w:rsid w:val="003B56E0"/>
    <w:rsid w:val="003F342D"/>
    <w:rsid w:val="003F6332"/>
    <w:rsid w:val="00400BAC"/>
    <w:rsid w:val="0040280D"/>
    <w:rsid w:val="00407130"/>
    <w:rsid w:val="00413C4E"/>
    <w:rsid w:val="00415EC9"/>
    <w:rsid w:val="00420884"/>
    <w:rsid w:val="0043055C"/>
    <w:rsid w:val="00431986"/>
    <w:rsid w:val="0043440F"/>
    <w:rsid w:val="00434DC7"/>
    <w:rsid w:val="00440B27"/>
    <w:rsid w:val="004415D4"/>
    <w:rsid w:val="0045388C"/>
    <w:rsid w:val="00460FBE"/>
    <w:rsid w:val="004641AF"/>
    <w:rsid w:val="00465AFB"/>
    <w:rsid w:val="004667A2"/>
    <w:rsid w:val="00473173"/>
    <w:rsid w:val="00473888"/>
    <w:rsid w:val="00476072"/>
    <w:rsid w:val="0048244E"/>
    <w:rsid w:val="00483F26"/>
    <w:rsid w:val="004873B2"/>
    <w:rsid w:val="004A102D"/>
    <w:rsid w:val="004A3867"/>
    <w:rsid w:val="004B3D4A"/>
    <w:rsid w:val="004C117D"/>
    <w:rsid w:val="004C58D8"/>
    <w:rsid w:val="004C728B"/>
    <w:rsid w:val="004D002C"/>
    <w:rsid w:val="004D0897"/>
    <w:rsid w:val="004E360B"/>
    <w:rsid w:val="004E3B20"/>
    <w:rsid w:val="004F6B3E"/>
    <w:rsid w:val="005030C9"/>
    <w:rsid w:val="0051180A"/>
    <w:rsid w:val="005179AD"/>
    <w:rsid w:val="00527E9B"/>
    <w:rsid w:val="00534DA0"/>
    <w:rsid w:val="00536DE9"/>
    <w:rsid w:val="00540F12"/>
    <w:rsid w:val="0054338C"/>
    <w:rsid w:val="005438A0"/>
    <w:rsid w:val="00563871"/>
    <w:rsid w:val="00566679"/>
    <w:rsid w:val="00570CF4"/>
    <w:rsid w:val="0057280B"/>
    <w:rsid w:val="00574A5E"/>
    <w:rsid w:val="00580094"/>
    <w:rsid w:val="00582437"/>
    <w:rsid w:val="00582B78"/>
    <w:rsid w:val="0058356B"/>
    <w:rsid w:val="0058759E"/>
    <w:rsid w:val="00590865"/>
    <w:rsid w:val="005A7061"/>
    <w:rsid w:val="005C4F53"/>
    <w:rsid w:val="005C591B"/>
    <w:rsid w:val="005C6E19"/>
    <w:rsid w:val="005D0EA2"/>
    <w:rsid w:val="005D45DD"/>
    <w:rsid w:val="005E4DA0"/>
    <w:rsid w:val="005E6F56"/>
    <w:rsid w:val="005E7C68"/>
    <w:rsid w:val="005F0628"/>
    <w:rsid w:val="005F4E52"/>
    <w:rsid w:val="005F5129"/>
    <w:rsid w:val="006001A5"/>
    <w:rsid w:val="00600772"/>
    <w:rsid w:val="00615C6A"/>
    <w:rsid w:val="006166B8"/>
    <w:rsid w:val="00616CE6"/>
    <w:rsid w:val="0062370D"/>
    <w:rsid w:val="00625EA8"/>
    <w:rsid w:val="00627F5E"/>
    <w:rsid w:val="00631EF3"/>
    <w:rsid w:val="00657C8C"/>
    <w:rsid w:val="006602FB"/>
    <w:rsid w:val="00662C5A"/>
    <w:rsid w:val="00670159"/>
    <w:rsid w:val="0067616F"/>
    <w:rsid w:val="00680C50"/>
    <w:rsid w:val="00682327"/>
    <w:rsid w:val="00685AD3"/>
    <w:rsid w:val="00691249"/>
    <w:rsid w:val="006947CB"/>
    <w:rsid w:val="0069792A"/>
    <w:rsid w:val="006A043F"/>
    <w:rsid w:val="006A4D37"/>
    <w:rsid w:val="006B014C"/>
    <w:rsid w:val="006B1B96"/>
    <w:rsid w:val="006D6BBC"/>
    <w:rsid w:val="006D6C40"/>
    <w:rsid w:val="006E6C00"/>
    <w:rsid w:val="006E71A7"/>
    <w:rsid w:val="006F3075"/>
    <w:rsid w:val="006F43CF"/>
    <w:rsid w:val="0070505E"/>
    <w:rsid w:val="0071112B"/>
    <w:rsid w:val="007127E9"/>
    <w:rsid w:val="007159BE"/>
    <w:rsid w:val="007224C1"/>
    <w:rsid w:val="00723B85"/>
    <w:rsid w:val="00727BBC"/>
    <w:rsid w:val="0073546A"/>
    <w:rsid w:val="00736420"/>
    <w:rsid w:val="00750501"/>
    <w:rsid w:val="0075075B"/>
    <w:rsid w:val="007568AF"/>
    <w:rsid w:val="007600CC"/>
    <w:rsid w:val="007635A9"/>
    <w:rsid w:val="0077522E"/>
    <w:rsid w:val="007924AE"/>
    <w:rsid w:val="0079494A"/>
    <w:rsid w:val="007A4412"/>
    <w:rsid w:val="007A4B4C"/>
    <w:rsid w:val="007B071A"/>
    <w:rsid w:val="007B3054"/>
    <w:rsid w:val="007B3425"/>
    <w:rsid w:val="007B4420"/>
    <w:rsid w:val="007D191F"/>
    <w:rsid w:val="007D1B7B"/>
    <w:rsid w:val="007D24C3"/>
    <w:rsid w:val="007D2E2F"/>
    <w:rsid w:val="007D7A0C"/>
    <w:rsid w:val="007E707D"/>
    <w:rsid w:val="007F062A"/>
    <w:rsid w:val="007F5B73"/>
    <w:rsid w:val="007F7355"/>
    <w:rsid w:val="00802A4D"/>
    <w:rsid w:val="00805C16"/>
    <w:rsid w:val="00811373"/>
    <w:rsid w:val="00813924"/>
    <w:rsid w:val="00823587"/>
    <w:rsid w:val="0082606E"/>
    <w:rsid w:val="00830C44"/>
    <w:rsid w:val="00836607"/>
    <w:rsid w:val="00845F79"/>
    <w:rsid w:val="00857FC1"/>
    <w:rsid w:val="00873BED"/>
    <w:rsid w:val="00882F7C"/>
    <w:rsid w:val="008861B8"/>
    <w:rsid w:val="00894AB6"/>
    <w:rsid w:val="008A1BE7"/>
    <w:rsid w:val="008A61E4"/>
    <w:rsid w:val="008B2DC4"/>
    <w:rsid w:val="008C246A"/>
    <w:rsid w:val="008D6CE0"/>
    <w:rsid w:val="008D7DA4"/>
    <w:rsid w:val="008E4AE6"/>
    <w:rsid w:val="008F003B"/>
    <w:rsid w:val="008F4C3E"/>
    <w:rsid w:val="00901909"/>
    <w:rsid w:val="00907452"/>
    <w:rsid w:val="00911BA1"/>
    <w:rsid w:val="0091238F"/>
    <w:rsid w:val="0091319B"/>
    <w:rsid w:val="00913CBC"/>
    <w:rsid w:val="00944167"/>
    <w:rsid w:val="00951453"/>
    <w:rsid w:val="00951727"/>
    <w:rsid w:val="0097297B"/>
    <w:rsid w:val="009748A9"/>
    <w:rsid w:val="009766BE"/>
    <w:rsid w:val="0098085C"/>
    <w:rsid w:val="009958BC"/>
    <w:rsid w:val="00997434"/>
    <w:rsid w:val="009B6FE6"/>
    <w:rsid w:val="009D1FFA"/>
    <w:rsid w:val="009D3003"/>
    <w:rsid w:val="009E7C34"/>
    <w:rsid w:val="009F0E03"/>
    <w:rsid w:val="00A00BE1"/>
    <w:rsid w:val="00A0608D"/>
    <w:rsid w:val="00A07F72"/>
    <w:rsid w:val="00A11C05"/>
    <w:rsid w:val="00A12124"/>
    <w:rsid w:val="00A14376"/>
    <w:rsid w:val="00A14CBD"/>
    <w:rsid w:val="00A25258"/>
    <w:rsid w:val="00A46DC9"/>
    <w:rsid w:val="00A567D8"/>
    <w:rsid w:val="00A72E4D"/>
    <w:rsid w:val="00A73376"/>
    <w:rsid w:val="00A734E1"/>
    <w:rsid w:val="00A92135"/>
    <w:rsid w:val="00AA04B4"/>
    <w:rsid w:val="00AA6E21"/>
    <w:rsid w:val="00AB18E9"/>
    <w:rsid w:val="00AB28D5"/>
    <w:rsid w:val="00AB3425"/>
    <w:rsid w:val="00AB635F"/>
    <w:rsid w:val="00AC0B5F"/>
    <w:rsid w:val="00AD1225"/>
    <w:rsid w:val="00AD2455"/>
    <w:rsid w:val="00AD4876"/>
    <w:rsid w:val="00AD6D08"/>
    <w:rsid w:val="00AE5D38"/>
    <w:rsid w:val="00AE6F82"/>
    <w:rsid w:val="00AF3A9B"/>
    <w:rsid w:val="00B00924"/>
    <w:rsid w:val="00B01673"/>
    <w:rsid w:val="00B110DD"/>
    <w:rsid w:val="00B11162"/>
    <w:rsid w:val="00B26141"/>
    <w:rsid w:val="00B35EB9"/>
    <w:rsid w:val="00B4547E"/>
    <w:rsid w:val="00B47297"/>
    <w:rsid w:val="00B47C69"/>
    <w:rsid w:val="00B518AB"/>
    <w:rsid w:val="00B5249D"/>
    <w:rsid w:val="00B52595"/>
    <w:rsid w:val="00B54E31"/>
    <w:rsid w:val="00B73CB2"/>
    <w:rsid w:val="00B75775"/>
    <w:rsid w:val="00B80288"/>
    <w:rsid w:val="00B94607"/>
    <w:rsid w:val="00B94651"/>
    <w:rsid w:val="00BA34CC"/>
    <w:rsid w:val="00BA6167"/>
    <w:rsid w:val="00BB2892"/>
    <w:rsid w:val="00BC0D82"/>
    <w:rsid w:val="00BC381E"/>
    <w:rsid w:val="00BD10A3"/>
    <w:rsid w:val="00BD2184"/>
    <w:rsid w:val="00BD448F"/>
    <w:rsid w:val="00BD68F9"/>
    <w:rsid w:val="00BE02CE"/>
    <w:rsid w:val="00BE1FF9"/>
    <w:rsid w:val="00BE7CCC"/>
    <w:rsid w:val="00BF11E2"/>
    <w:rsid w:val="00BF1733"/>
    <w:rsid w:val="00BF4232"/>
    <w:rsid w:val="00BF6374"/>
    <w:rsid w:val="00C020A6"/>
    <w:rsid w:val="00C04C70"/>
    <w:rsid w:val="00C11C03"/>
    <w:rsid w:val="00C1530C"/>
    <w:rsid w:val="00C57975"/>
    <w:rsid w:val="00C67F6D"/>
    <w:rsid w:val="00C8691E"/>
    <w:rsid w:val="00C8711D"/>
    <w:rsid w:val="00C96F4A"/>
    <w:rsid w:val="00CA6DEB"/>
    <w:rsid w:val="00CA7E04"/>
    <w:rsid w:val="00CE1FFD"/>
    <w:rsid w:val="00CE2720"/>
    <w:rsid w:val="00CF7633"/>
    <w:rsid w:val="00D12CB6"/>
    <w:rsid w:val="00D1557A"/>
    <w:rsid w:val="00D17881"/>
    <w:rsid w:val="00D27DDD"/>
    <w:rsid w:val="00D33422"/>
    <w:rsid w:val="00D3614D"/>
    <w:rsid w:val="00D5034E"/>
    <w:rsid w:val="00D5151C"/>
    <w:rsid w:val="00D57EB8"/>
    <w:rsid w:val="00D62E0C"/>
    <w:rsid w:val="00D80107"/>
    <w:rsid w:val="00D900EC"/>
    <w:rsid w:val="00D96635"/>
    <w:rsid w:val="00DC1098"/>
    <w:rsid w:val="00DC705F"/>
    <w:rsid w:val="00DD441D"/>
    <w:rsid w:val="00DE3D07"/>
    <w:rsid w:val="00DE4697"/>
    <w:rsid w:val="00DE6206"/>
    <w:rsid w:val="00DF2E48"/>
    <w:rsid w:val="00E11D40"/>
    <w:rsid w:val="00E23B68"/>
    <w:rsid w:val="00E24BF5"/>
    <w:rsid w:val="00E25DF9"/>
    <w:rsid w:val="00E35C37"/>
    <w:rsid w:val="00E40D14"/>
    <w:rsid w:val="00E41768"/>
    <w:rsid w:val="00E4775E"/>
    <w:rsid w:val="00E51BF8"/>
    <w:rsid w:val="00E5538C"/>
    <w:rsid w:val="00E60924"/>
    <w:rsid w:val="00E64194"/>
    <w:rsid w:val="00E65F3D"/>
    <w:rsid w:val="00E73D46"/>
    <w:rsid w:val="00E77428"/>
    <w:rsid w:val="00E91206"/>
    <w:rsid w:val="00E9765C"/>
    <w:rsid w:val="00EA098A"/>
    <w:rsid w:val="00EA279A"/>
    <w:rsid w:val="00EB3D45"/>
    <w:rsid w:val="00EB41E4"/>
    <w:rsid w:val="00EC4D26"/>
    <w:rsid w:val="00EC6BF9"/>
    <w:rsid w:val="00EC6EA6"/>
    <w:rsid w:val="00EE0A83"/>
    <w:rsid w:val="00EE0E46"/>
    <w:rsid w:val="00EF24C9"/>
    <w:rsid w:val="00EF2C29"/>
    <w:rsid w:val="00EF4420"/>
    <w:rsid w:val="00EF743C"/>
    <w:rsid w:val="00F0130F"/>
    <w:rsid w:val="00F02BDB"/>
    <w:rsid w:val="00F1467C"/>
    <w:rsid w:val="00F2618F"/>
    <w:rsid w:val="00F31C5D"/>
    <w:rsid w:val="00F342BF"/>
    <w:rsid w:val="00F35B38"/>
    <w:rsid w:val="00F41673"/>
    <w:rsid w:val="00F52B4A"/>
    <w:rsid w:val="00F57C20"/>
    <w:rsid w:val="00F63ABE"/>
    <w:rsid w:val="00F67D14"/>
    <w:rsid w:val="00F74A3C"/>
    <w:rsid w:val="00F826AE"/>
    <w:rsid w:val="00F91727"/>
    <w:rsid w:val="00F91F95"/>
    <w:rsid w:val="00FA1DA0"/>
    <w:rsid w:val="00FA3801"/>
    <w:rsid w:val="00FC0CD9"/>
    <w:rsid w:val="00FC17EB"/>
    <w:rsid w:val="00FC21E5"/>
    <w:rsid w:val="00FC2885"/>
    <w:rsid w:val="00FC6ED0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F5AEC-404B-4B01-9633-A5E64F35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customStyle="1" w:styleId="text">
    <w:name w:val="text"/>
    <w:basedOn w:val="a"/>
    <w:rsid w:val="00631EF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32AD-45BB-46C1-9495-F543426C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Лукьяненко Наталья Олеговна</cp:lastModifiedBy>
  <cp:revision>135</cp:revision>
  <cp:lastPrinted>2022-07-27T05:28:00Z</cp:lastPrinted>
  <dcterms:created xsi:type="dcterms:W3CDTF">2019-12-16T07:59:00Z</dcterms:created>
  <dcterms:modified xsi:type="dcterms:W3CDTF">2022-08-10T08:41:00Z</dcterms:modified>
</cp:coreProperties>
</file>