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A61" w:rsidRDefault="005C45B5">
      <w:pPr>
        <w:spacing w:after="0"/>
        <w:jc w:val="right"/>
        <w:rPr>
          <w:rFonts w:ascii="Times New Roman" w:eastAsia="Calibri" w:hAnsi="Times New Roman" w:cs="Times New Roman"/>
          <w:sz w:val="24"/>
          <w:szCs w:val="20"/>
        </w:rPr>
      </w:pPr>
      <w:r>
        <w:rPr>
          <w:rFonts w:ascii="Times New Roman" w:eastAsia="Calibri" w:hAnsi="Times New Roman" w:cs="Times New Roman"/>
          <w:sz w:val="24"/>
          <w:szCs w:val="20"/>
        </w:rPr>
        <w:t>Приложение 1 к Извещению об осуществлении закупки</w:t>
      </w:r>
    </w:p>
    <w:p w:rsidR="005B6A61" w:rsidRDefault="005B6A61">
      <w:pPr>
        <w:spacing w:after="0"/>
        <w:jc w:val="right"/>
        <w:rPr>
          <w:rFonts w:ascii="Times New Roman" w:eastAsia="Calibri" w:hAnsi="Times New Roman" w:cs="Times New Roman"/>
          <w:sz w:val="20"/>
          <w:szCs w:val="20"/>
        </w:rPr>
      </w:pPr>
    </w:p>
    <w:p w:rsidR="00DD6220" w:rsidRPr="00352B53" w:rsidRDefault="005C45B5" w:rsidP="00352B53">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Описание объекта закупки (техническое задание)</w:t>
      </w:r>
    </w:p>
    <w:p w:rsidR="005B6A61" w:rsidRDefault="00352B53">
      <w:pPr>
        <w:autoSpaceDE w:val="0"/>
        <w:adjustRightInd w:val="0"/>
        <w:spacing w:after="0"/>
        <w:jc w:val="center"/>
        <w:rPr>
          <w:rFonts w:ascii="Times New Roman" w:eastAsia="Calibri" w:hAnsi="Times New Roman" w:cs="Times New Roman"/>
          <w:sz w:val="24"/>
        </w:rPr>
      </w:pPr>
      <w:r>
        <w:rPr>
          <w:rFonts w:ascii="Times New Roman" w:eastAsia="Times New Roman" w:hAnsi="Times New Roman" w:cs="Times New Roman"/>
          <w:iCs/>
          <w:lang w:eastAsia="ru-RU"/>
        </w:rPr>
        <w:t>на в</w:t>
      </w:r>
      <w:r w:rsidR="005C45B5">
        <w:rPr>
          <w:rFonts w:ascii="Times New Roman" w:eastAsia="Times New Roman" w:hAnsi="Times New Roman" w:cs="Times New Roman"/>
          <w:iCs/>
          <w:lang w:eastAsia="ru-RU"/>
        </w:rPr>
        <w:t xml:space="preserve">ыполнение </w:t>
      </w:r>
      <w:r>
        <w:rPr>
          <w:rFonts w:ascii="Times New Roman" w:hAnsi="Times New Roman"/>
        </w:rPr>
        <w:t xml:space="preserve">работ для обеспечения </w:t>
      </w:r>
      <w:r>
        <w:rPr>
          <w:rFonts w:ascii="Times New Roman" w:eastAsia="Times New Roman" w:hAnsi="Times New Roman"/>
          <w:color w:val="000000"/>
          <w:lang w:eastAsia="ru-RU"/>
        </w:rPr>
        <w:t>пострадавших от несчастных случаев на производстве и профессиональных заболеваний</w:t>
      </w:r>
      <w:r>
        <w:rPr>
          <w:rFonts w:ascii="Times New Roman" w:hAnsi="Times New Roman"/>
        </w:rPr>
        <w:t xml:space="preserve"> протезами плеча с микропроцессорным управлением</w:t>
      </w:r>
      <w:r w:rsidR="005C45B5">
        <w:rPr>
          <w:rFonts w:ascii="Times New Roman" w:eastAsia="Calibri" w:hAnsi="Times New Roman" w:cs="Times New Roman"/>
          <w:sz w:val="24"/>
        </w:rPr>
        <w:t>.</w:t>
      </w:r>
    </w:p>
    <w:p w:rsidR="005B6A61" w:rsidRDefault="005B6A61">
      <w:pPr>
        <w:pStyle w:val="3"/>
        <w:tabs>
          <w:tab w:val="left" w:pos="6600"/>
        </w:tabs>
        <w:spacing w:after="0" w:line="240" w:lineRule="auto"/>
        <w:jc w:val="center"/>
        <w:rPr>
          <w:bCs/>
          <w:sz w:val="24"/>
        </w:rPr>
      </w:pPr>
    </w:p>
    <w:tbl>
      <w:tblPr>
        <w:tblW w:w="1494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26"/>
        <w:gridCol w:w="1475"/>
        <w:gridCol w:w="3827"/>
        <w:gridCol w:w="8364"/>
        <w:gridCol w:w="850"/>
      </w:tblGrid>
      <w:tr w:rsidR="005B6A61" w:rsidTr="00352B53">
        <w:trPr>
          <w:trHeight w:val="400"/>
        </w:trPr>
        <w:tc>
          <w:tcPr>
            <w:tcW w:w="426" w:type="dxa"/>
            <w:tcMar>
              <w:top w:w="55" w:type="dxa"/>
              <w:left w:w="55" w:type="dxa"/>
              <w:bottom w:w="55" w:type="dxa"/>
              <w:right w:w="55" w:type="dxa"/>
            </w:tcMar>
            <w:vAlign w:val="center"/>
          </w:tcPr>
          <w:p w:rsidR="005B6A61" w:rsidRDefault="005C45B5">
            <w:pPr>
              <w:tabs>
                <w:tab w:val="left" w:pos="6600"/>
              </w:tabs>
              <w:spacing w:after="0" w:line="240" w:lineRule="auto"/>
              <w:contextualSpacing/>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 п/п</w:t>
            </w:r>
          </w:p>
        </w:tc>
        <w:tc>
          <w:tcPr>
            <w:tcW w:w="1475" w:type="dxa"/>
            <w:tcBorders>
              <w:right w:val="single" w:sz="4" w:space="0" w:color="auto"/>
            </w:tcBorders>
            <w:tcMar>
              <w:top w:w="55" w:type="dxa"/>
              <w:left w:w="55" w:type="dxa"/>
              <w:bottom w:w="55" w:type="dxa"/>
              <w:right w:w="55" w:type="dxa"/>
            </w:tcMar>
            <w:vAlign w:val="center"/>
          </w:tcPr>
          <w:p w:rsidR="005B6A61" w:rsidRDefault="005C45B5">
            <w:pPr>
              <w:tabs>
                <w:tab w:val="left" w:pos="6600"/>
              </w:tabs>
              <w:spacing w:after="0" w:line="240" w:lineRule="auto"/>
              <w:contextualSpacing/>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Наименование товара (работы, услуги)</w:t>
            </w:r>
          </w:p>
        </w:tc>
        <w:tc>
          <w:tcPr>
            <w:tcW w:w="12191" w:type="dxa"/>
            <w:gridSpan w:val="2"/>
            <w:tcBorders>
              <w:left w:val="single" w:sz="4" w:space="0" w:color="auto"/>
              <w:right w:val="single" w:sz="1" w:space="0" w:color="000000"/>
            </w:tcBorders>
            <w:vAlign w:val="center"/>
          </w:tcPr>
          <w:p w:rsidR="005B6A61" w:rsidRDefault="005C45B5">
            <w:pPr>
              <w:suppressLineNumbers/>
              <w:snapToGrid w:val="0"/>
              <w:spacing w:after="0" w:line="240" w:lineRule="auto"/>
              <w:jc w:val="center"/>
              <w:rPr>
                <w:rFonts w:ascii="Times New Roman" w:eastAsia="Andale Sans UI" w:hAnsi="Times New Roman" w:cs="Times New Roman"/>
                <w:sz w:val="20"/>
                <w:szCs w:val="20"/>
                <w:lang w:eastAsia="zh-CN"/>
              </w:rPr>
            </w:pPr>
            <w:r>
              <w:rPr>
                <w:rFonts w:ascii="Times New Roman" w:hAnsi="Times New Roman" w:cs="Times New Roman"/>
                <w:bCs/>
                <w:i/>
                <w:sz w:val="20"/>
                <w:szCs w:val="20"/>
              </w:rPr>
              <w:t>Функциональные, технические, качественные характеристики, эксплуатационные характеристики работы (в случае отсутствия соответствующих позиций в КТРУ)</w:t>
            </w:r>
          </w:p>
        </w:tc>
        <w:tc>
          <w:tcPr>
            <w:tcW w:w="850" w:type="dxa"/>
            <w:tcBorders>
              <w:top w:val="single" w:sz="1" w:space="0" w:color="000000"/>
              <w:left w:val="single" w:sz="1" w:space="0" w:color="000000"/>
            </w:tcBorders>
            <w:shd w:val="clear" w:color="auto" w:fill="auto"/>
            <w:tcMar>
              <w:top w:w="55" w:type="dxa"/>
              <w:left w:w="55" w:type="dxa"/>
              <w:bottom w:w="55" w:type="dxa"/>
              <w:right w:w="55" w:type="dxa"/>
            </w:tcMar>
            <w:vAlign w:val="center"/>
          </w:tcPr>
          <w:p w:rsidR="005B6A61" w:rsidRDefault="005C45B5">
            <w:pPr>
              <w:suppressLineNumbers/>
              <w:snapToGrid w:val="0"/>
              <w:spacing w:after="0" w:line="240" w:lineRule="auto"/>
              <w:jc w:val="center"/>
              <w:rPr>
                <w:rFonts w:ascii="Times New Roman" w:eastAsia="Andale Sans UI" w:hAnsi="Times New Roman" w:cs="Times New Roman"/>
                <w:sz w:val="20"/>
                <w:szCs w:val="20"/>
                <w:lang w:eastAsia="zh-CN"/>
              </w:rPr>
            </w:pPr>
            <w:r>
              <w:rPr>
                <w:rFonts w:ascii="Times New Roman" w:eastAsia="Andale Sans UI" w:hAnsi="Times New Roman" w:cs="Times New Roman"/>
                <w:sz w:val="20"/>
                <w:szCs w:val="20"/>
                <w:lang w:eastAsia="zh-CN"/>
              </w:rPr>
              <w:t>Кол-во, (шт.)</w:t>
            </w:r>
          </w:p>
        </w:tc>
      </w:tr>
      <w:tr w:rsidR="005B6A61" w:rsidTr="00352B53">
        <w:trPr>
          <w:trHeight w:val="213"/>
        </w:trPr>
        <w:tc>
          <w:tcPr>
            <w:tcW w:w="426" w:type="dxa"/>
            <w:tcMar>
              <w:top w:w="55" w:type="dxa"/>
              <w:left w:w="55" w:type="dxa"/>
              <w:bottom w:w="55" w:type="dxa"/>
              <w:right w:w="55" w:type="dxa"/>
            </w:tcMar>
          </w:tcPr>
          <w:p w:rsidR="005B6A61" w:rsidRDefault="005C45B5">
            <w:pPr>
              <w:tabs>
                <w:tab w:val="left" w:pos="6600"/>
              </w:tabs>
              <w:spacing w:after="0" w:line="240" w:lineRule="auto"/>
              <w:contextualSpacing/>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1.</w:t>
            </w:r>
          </w:p>
        </w:tc>
        <w:tc>
          <w:tcPr>
            <w:tcW w:w="1475" w:type="dxa"/>
            <w:tcBorders>
              <w:right w:val="single" w:sz="4" w:space="0" w:color="auto"/>
            </w:tcBorders>
            <w:tcMar>
              <w:top w:w="55" w:type="dxa"/>
              <w:left w:w="55" w:type="dxa"/>
              <w:bottom w:w="55" w:type="dxa"/>
              <w:right w:w="55" w:type="dxa"/>
            </w:tcMar>
          </w:tcPr>
          <w:p w:rsidR="005B6A61" w:rsidRDefault="00352B53">
            <w:pPr>
              <w:tabs>
                <w:tab w:val="left" w:pos="6600"/>
              </w:tabs>
              <w:spacing w:after="0" w:line="240" w:lineRule="auto"/>
              <w:contextualSpacing/>
              <w:jc w:val="center"/>
              <w:rPr>
                <w:rFonts w:ascii="Times New Roman" w:hAnsi="Times New Roman" w:cs="Times New Roman"/>
                <w:bCs/>
                <w:sz w:val="20"/>
                <w:szCs w:val="20"/>
                <w:lang w:eastAsia="zh-CN"/>
              </w:rPr>
            </w:pPr>
            <w:r w:rsidRPr="00352B53">
              <w:rPr>
                <w:rFonts w:ascii="Times New Roman" w:hAnsi="Times New Roman" w:cs="Times New Roman"/>
                <w:bCs/>
                <w:iCs/>
                <w:kern w:val="1"/>
                <w:sz w:val="20"/>
                <w:szCs w:val="20"/>
                <w:lang w:eastAsia="zh-CN"/>
              </w:rPr>
              <w:t>Выполнение работ для обеспечения протезами плеча с микропроцессорным управлением</w:t>
            </w:r>
          </w:p>
        </w:tc>
        <w:tc>
          <w:tcPr>
            <w:tcW w:w="3827" w:type="dxa"/>
            <w:tcBorders>
              <w:left w:val="single" w:sz="4" w:space="0" w:color="auto"/>
            </w:tcBorders>
          </w:tcPr>
          <w:p w:rsidR="003A40F8" w:rsidRDefault="00352B53" w:rsidP="005C2A98">
            <w:pPr>
              <w:spacing w:after="0" w:line="240" w:lineRule="auto"/>
              <w:ind w:left="131" w:right="132"/>
              <w:contextualSpacing/>
              <w:jc w:val="both"/>
              <w:rPr>
                <w:rFonts w:ascii="Times New Roman" w:hAnsi="Times New Roman"/>
                <w:sz w:val="20"/>
                <w:szCs w:val="20"/>
                <w:lang w:eastAsia="ru-RU"/>
              </w:rPr>
            </w:pPr>
            <w:r w:rsidRPr="00352B53">
              <w:rPr>
                <w:rFonts w:ascii="Times New Roman" w:hAnsi="Times New Roman"/>
                <w:sz w:val="20"/>
                <w:szCs w:val="20"/>
                <w:lang w:eastAsia="ru-RU"/>
              </w:rPr>
              <w:t xml:space="preserve">Протез плеча с микропроцессорным управлением, индивидуального изготовления, с изготовлением приёмной гильзы по слепку. Примерочная гильза из термопласта. Постоянная гильза из слоистого пластика с применением композитных материалов и литьевых смол с вкладышем из термопласта. Внутри приёмной гильзы в проекции управляющих мышц расположены два датчика миосигналов.  Локтевой шарнир присоединен к несущей гильзе плеча с возможностью ротации в диапазоне не менее 200 градусов. Локтевой шарнир имеет встроенную электронную систему управления с настройками, задаваемыми из специального приложения на планшете iPad при подключении к планшету по Bluetooth соединению. Система управления дает  возможность раздельно настраивать усиление миосигналов, а также верхний и нижний пороги срабатывания для каждой из степеней свободы и для переключения между ними, выбирать между альтернативными схемами управления, когда первый сигнал превысивший свой верхний порог получает управление устройством или максимальный из сигналов превысивших свои верхние </w:t>
            </w:r>
            <w:r w:rsidRPr="00352B53">
              <w:rPr>
                <w:rFonts w:ascii="Times New Roman" w:hAnsi="Times New Roman"/>
                <w:sz w:val="20"/>
                <w:szCs w:val="20"/>
                <w:lang w:eastAsia="ru-RU"/>
              </w:rPr>
              <w:lastRenderedPageBreak/>
              <w:t xml:space="preserve">пороги получает управление устройством, настраивать какой паттерн миосигналов будет отвечать за переключение между устройствами - быстрая контракция, медленная контракция, двойной импульс или удержание сигнала выше порога в течение некоторого времени, устанавливать диапазон углов сгибания локтевого шарнира в пределах от -5 до 135 градусов, регулировать скорость открытия/закрытия кисти, устанавливать свой паттерн переключения для каждой из степеней свободы, управлять двумя устройствами одним миосигналом в зависимости от скорости его фронта. Локтевой шарнир экзоскелетного типа с электронным замком, допускает перенос грузов весом до 11.3 кг, степень электрозащиты не менее IP22. </w:t>
            </w:r>
          </w:p>
          <w:p w:rsidR="005B6A61" w:rsidRDefault="00352B53" w:rsidP="005C2A98">
            <w:pPr>
              <w:spacing w:after="0" w:line="240" w:lineRule="auto"/>
              <w:ind w:left="131" w:right="132"/>
              <w:contextualSpacing/>
              <w:jc w:val="both"/>
              <w:rPr>
                <w:rFonts w:ascii="Times New Roman" w:hAnsi="Times New Roman" w:cs="Times New Roman"/>
                <w:bCs/>
                <w:sz w:val="20"/>
                <w:szCs w:val="20"/>
                <w:lang w:eastAsia="zh-CN"/>
              </w:rPr>
            </w:pPr>
            <w:r w:rsidRPr="00352B53">
              <w:rPr>
                <w:rFonts w:ascii="Times New Roman" w:hAnsi="Times New Roman"/>
                <w:sz w:val="20"/>
                <w:szCs w:val="20"/>
                <w:lang w:eastAsia="ru-RU"/>
              </w:rPr>
              <w:t xml:space="preserve">Локтевой шарнир укомплектован двумя аккумуляторами ёмкостью не менее 3000мАч и зарядным устройством к этим аккумуляторам. Минимальная рабочая высота локтевого шарнира не превышает 48мм. Лучезапястный шарнир обеспечивает пассивную ротацию кисти. Кисть бионическая с программным управлением, с независимым электромотором для каждого пальца, большой палец с бесступенчатым пассивным отведением и приведением, с возможностью программирования 24 различных схватов пальцев кисти с помощью смартфона, с пропорциональным управлением скорости перемещения пальцев от двух датчиков миосигналов, с питанием от аккумулятора локтевого шарнира. Кисть укомплектована смартфоном и миотестером для проверки уровня миосигналов пациента. Протез </w:t>
            </w:r>
            <w:r w:rsidRPr="00352B53">
              <w:rPr>
                <w:rFonts w:ascii="Times New Roman" w:hAnsi="Times New Roman"/>
                <w:sz w:val="20"/>
                <w:szCs w:val="20"/>
                <w:lang w:eastAsia="ru-RU"/>
              </w:rPr>
              <w:lastRenderedPageBreak/>
              <w:t>комплектуется двумя косметическими оболочками кисти из силикона с подбором цветовых характеристик. Крепление индивидуальное подгоночное.</w:t>
            </w:r>
          </w:p>
        </w:tc>
        <w:tc>
          <w:tcPr>
            <w:tcW w:w="8364" w:type="dxa"/>
            <w:tcBorders>
              <w:left w:val="single" w:sz="1" w:space="0" w:color="000000"/>
              <w:right w:val="single" w:sz="1" w:space="0" w:color="000000"/>
            </w:tcBorders>
          </w:tcPr>
          <w:p w:rsidR="00352B53" w:rsidRPr="00352B53" w:rsidRDefault="00352B53" w:rsidP="00352B53">
            <w:pPr>
              <w:shd w:val="clear" w:color="auto" w:fill="FFFFFF"/>
              <w:autoSpaceDE w:val="0"/>
              <w:spacing w:after="0" w:line="240" w:lineRule="auto"/>
              <w:ind w:left="131" w:right="131"/>
              <w:jc w:val="center"/>
              <w:rPr>
                <w:rFonts w:ascii="Times New Roman" w:eastAsia="Arial" w:hAnsi="Times New Roman" w:cs="Times New Roman"/>
                <w:b/>
                <w:sz w:val="19"/>
                <w:szCs w:val="19"/>
              </w:rPr>
            </w:pPr>
            <w:r w:rsidRPr="00352B53">
              <w:rPr>
                <w:rFonts w:ascii="Times New Roman" w:eastAsia="Arial" w:hAnsi="Times New Roman" w:cs="Times New Roman"/>
                <w:b/>
                <w:sz w:val="19"/>
                <w:szCs w:val="19"/>
              </w:rPr>
              <w:lastRenderedPageBreak/>
              <w:t>Требования к техническим и функциональным характеристикам работ</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В соответствии п. 1,2 ГОСТ Р 51819-2022 выполняемые работы по обеспечению Получателей протезами плеча с микропроцессорным управлением должны содержать комплекс медицинских, технических и организационных мероприятий, направленных на частичное восстановление опорно-двигательных функций и/или устранение косметических дефектов верхних конечностей пациентов с помощью протезов конечностей, в целях восстановления или компенсации ограничений их жизнедеятельности. </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В соответствии п. 39 ГОСТ Р 51819-2022 приемная гильза протеза конечности должна изготавливаться по индивидуальному параметру Получателя и предназначаться для размещения в нем культи или пораженной конечности, обеспечивая взаимодействие человека с протезом конечности. </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В соответствии п. 21 ГОСТ Р 51819-2022 функциональный узел протеза конечности должен выполнять заданную функцию и иметь конструктивно-технологическую завершенность. </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В соответствии с п.5.2.1. ГОСТ Р 59544-2021 работы должны включать в себя:</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 оформление карты протезирования, заказа; </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 изготовление изделия для примерки; </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примерку приемной гильзы;</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 предварительную сборку протеза; </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 примерку, установку, подгонку узлов, креплений; </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 окончательную сборку и отделку протеза; </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 обучение пользованию протезом, уходу за изделием и культей (недоразвитой конечностью) и выдачу готового изделия. </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b/>
                <w:sz w:val="19"/>
                <w:szCs w:val="19"/>
              </w:rPr>
              <w:t>Протезы плеча с микропроцессорным управлением должны соответствовать требованиям</w:t>
            </w:r>
            <w:r w:rsidRPr="00352B53">
              <w:rPr>
                <w:rFonts w:ascii="Times New Roman" w:eastAsia="Arial" w:hAnsi="Times New Roman" w:cs="Times New Roman"/>
                <w:sz w:val="19"/>
                <w:szCs w:val="19"/>
              </w:rPr>
              <w:t xml:space="preserve"> ГОСТ Р ИСО 22523-2007, ГОСТ Р </w:t>
            </w:r>
            <w:r w:rsidR="00E605CC">
              <w:rPr>
                <w:rFonts w:ascii="Times New Roman" w:eastAsia="Arial" w:hAnsi="Times New Roman" w:cs="Times New Roman"/>
                <w:sz w:val="19"/>
                <w:szCs w:val="19"/>
              </w:rPr>
              <w:t>56138-2021, ГОСТ Р 50267.0- 92</w:t>
            </w:r>
            <w:r w:rsidR="00BB2424">
              <w:rPr>
                <w:rFonts w:ascii="Times New Roman" w:eastAsia="Arial" w:hAnsi="Times New Roman" w:cs="Times New Roman"/>
                <w:sz w:val="19"/>
                <w:szCs w:val="19"/>
              </w:rPr>
              <w:t xml:space="preserve">, </w:t>
            </w:r>
            <w:r w:rsidR="00BB2424" w:rsidRPr="00BB2424">
              <w:rPr>
                <w:rFonts w:ascii="Times New Roman" w:eastAsia="Arial" w:hAnsi="Times New Roman" w:cs="Times New Roman"/>
                <w:sz w:val="19"/>
                <w:szCs w:val="19"/>
              </w:rPr>
              <w:t>ГОСТ Р МЭК 60601-1-2022</w:t>
            </w:r>
            <w:bookmarkStart w:id="0" w:name="_GoBack"/>
            <w:bookmarkEnd w:id="0"/>
            <w:r w:rsidR="00E605CC">
              <w:rPr>
                <w:rFonts w:ascii="Times New Roman" w:eastAsia="Arial" w:hAnsi="Times New Roman" w:cs="Times New Roman"/>
                <w:sz w:val="19"/>
                <w:szCs w:val="19"/>
              </w:rPr>
              <w:t xml:space="preserve"> </w:t>
            </w:r>
            <w:r w:rsidRPr="00352B53">
              <w:rPr>
                <w:rFonts w:ascii="Times New Roman" w:eastAsia="Arial" w:hAnsi="Times New Roman" w:cs="Times New Roman"/>
                <w:sz w:val="19"/>
                <w:szCs w:val="19"/>
              </w:rPr>
              <w:t xml:space="preserve">«Национальный стандарт Российской Федерации. Изделия медицинские электрические. Часть 1. Общие требования безопасности с учетом основных функциональных характеристик". </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Выполняемые работы по обеспечению Получателей протезами плеча с микропроцессорным управлением должны 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 Работы по проведению комплекса медицинских, технических и организационных мероприятий, должны быть направлены на частичное восстановление опорно-двигательных функций и (или) устранение косметических дефектов верхних конечностей Получателей с помощью протезов конечностей. </w:t>
            </w:r>
            <w:r w:rsidRPr="00352B53">
              <w:rPr>
                <w:rFonts w:ascii="Times New Roman" w:eastAsia="Arial" w:hAnsi="Times New Roman" w:cs="Times New Roman"/>
                <w:sz w:val="19"/>
                <w:szCs w:val="19"/>
              </w:rPr>
              <w:lastRenderedPageBreak/>
              <w:t xml:space="preserve">Приемная гильза протеза конечности изготавливается по индивидуальному параметру Получателей и предназначается для размещения в нем культи или пораженной конечности, обеспечивая взаимодействие человека с протезом конечности. Функциональный узел протеза конечности выполняет заданную функцию и имеет конструктивно-технологическую завершенность. </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Материалы, применяемые при изготовлении протеза, должны соответствовать требованиям ГОСТ Р ИСО 22523-2007, пункт 5. </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В соответствии с разделом 5.6 ГОСТ Р 56138-2021 «Протезы верхних конечностей. Технические требования»: </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 Материалы, применяемые в протезах, должны соответствовать требованиям ГОСТ Р ИСО 22523-2007 (подраздел 5.1). </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 Материалы приемных гильз протеза, контактирующие с телом пользователя, должны соответствовать требованиям биологической безопасности по ГОСТ ISO 10993-1-2021, ГОСТ ISO 10993-10-2011. </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 Металлические детали протеза изготавливают из коррозионностойких материалов, имеющих защитные или защитно-декоративные покрытия по ГОСТ 9.301-86. </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 Термопластичные материалы приемных гильз протеза должны обеспечивать термическую и механическую подгонку (подформовку). </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 Материалы приемных гильз должны обеспечивать установку заклепочных соединений без образования растрескиваний и разрывов. </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Материалы приемных гильз не должны деформироваться в процессе эксплуатации протеза.</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Требования к результатам работ</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Работы по обеспечению Получателей протезами плеча с микропроцессорным управлением следует считать эффективно исполненными, если у Получателей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Получателей протезами верхних конечностей должны быть выполнены с надлежащим кач</w:t>
            </w:r>
            <w:r>
              <w:rPr>
                <w:rFonts w:ascii="Times New Roman" w:eastAsia="Arial" w:hAnsi="Times New Roman" w:cs="Times New Roman"/>
                <w:sz w:val="19"/>
                <w:szCs w:val="19"/>
              </w:rPr>
              <w:t>еством и в установленные сроки.</w:t>
            </w:r>
          </w:p>
          <w:p w:rsidR="00352B53" w:rsidRPr="00352B53" w:rsidRDefault="00352B53" w:rsidP="00352B53">
            <w:pPr>
              <w:shd w:val="clear" w:color="auto" w:fill="FFFFFF"/>
              <w:autoSpaceDE w:val="0"/>
              <w:spacing w:after="0" w:line="240" w:lineRule="auto"/>
              <w:ind w:left="131" w:right="131"/>
              <w:jc w:val="center"/>
              <w:rPr>
                <w:rFonts w:ascii="Times New Roman" w:eastAsia="Arial" w:hAnsi="Times New Roman" w:cs="Times New Roman"/>
                <w:b/>
                <w:sz w:val="19"/>
                <w:szCs w:val="19"/>
              </w:rPr>
            </w:pPr>
            <w:r w:rsidRPr="00352B53">
              <w:rPr>
                <w:rFonts w:ascii="Times New Roman" w:eastAsia="Arial" w:hAnsi="Times New Roman" w:cs="Times New Roman"/>
                <w:b/>
                <w:sz w:val="19"/>
                <w:szCs w:val="19"/>
              </w:rPr>
              <w:t>Требования к размерам, упаковке и отгрузке результатов работ</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При необходимости отправка протезов к месту нахождения Получателей должна обеспечивать защиту от повреждений, порчи (изнашивания) или загрязнения во время хранения и транспортировки к мест</w:t>
            </w:r>
            <w:r>
              <w:rPr>
                <w:rFonts w:ascii="Times New Roman" w:eastAsia="Arial" w:hAnsi="Times New Roman" w:cs="Times New Roman"/>
                <w:sz w:val="19"/>
                <w:szCs w:val="19"/>
              </w:rPr>
              <w:t xml:space="preserve">у использования по назначению. </w:t>
            </w:r>
          </w:p>
          <w:p w:rsidR="00352B53" w:rsidRPr="00352B53" w:rsidRDefault="00352B53" w:rsidP="00352B53">
            <w:pPr>
              <w:shd w:val="clear" w:color="auto" w:fill="FFFFFF"/>
              <w:autoSpaceDE w:val="0"/>
              <w:spacing w:after="0" w:line="240" w:lineRule="auto"/>
              <w:ind w:left="131" w:right="131"/>
              <w:jc w:val="center"/>
              <w:rPr>
                <w:rFonts w:ascii="Times New Roman" w:eastAsia="Arial" w:hAnsi="Times New Roman" w:cs="Times New Roman"/>
                <w:b/>
                <w:sz w:val="19"/>
                <w:szCs w:val="19"/>
              </w:rPr>
            </w:pPr>
            <w:r w:rsidRPr="00352B53">
              <w:rPr>
                <w:rFonts w:ascii="Times New Roman" w:eastAsia="Arial" w:hAnsi="Times New Roman" w:cs="Times New Roman"/>
                <w:b/>
                <w:sz w:val="19"/>
                <w:szCs w:val="19"/>
              </w:rPr>
              <w:t>Требования к срокам и (или) объему предоставления гарантии качества работ</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Гарантийный срок на протезы устанавливается со дня выдачи готового изделия в эксплуатацию должен составлять не менее 7 месяцев. В течение этого срока Исполнитель производит замену и</w:t>
            </w:r>
            <w:r>
              <w:rPr>
                <w:rFonts w:ascii="Times New Roman" w:eastAsia="Arial" w:hAnsi="Times New Roman" w:cs="Times New Roman"/>
                <w:sz w:val="19"/>
                <w:szCs w:val="19"/>
              </w:rPr>
              <w:t xml:space="preserve">ли ремонт изделия бесплатно. </w:t>
            </w:r>
          </w:p>
          <w:p w:rsidR="00352B53" w:rsidRPr="00352B53" w:rsidRDefault="00352B53" w:rsidP="00352B53">
            <w:pPr>
              <w:shd w:val="clear" w:color="auto" w:fill="FFFFFF"/>
              <w:autoSpaceDE w:val="0"/>
              <w:spacing w:after="0" w:line="240" w:lineRule="auto"/>
              <w:ind w:left="131" w:right="131"/>
              <w:jc w:val="center"/>
              <w:rPr>
                <w:rFonts w:ascii="Times New Roman" w:eastAsia="Arial" w:hAnsi="Times New Roman" w:cs="Times New Roman"/>
                <w:b/>
                <w:sz w:val="19"/>
                <w:szCs w:val="19"/>
              </w:rPr>
            </w:pPr>
            <w:r w:rsidRPr="00352B53">
              <w:rPr>
                <w:rFonts w:ascii="Times New Roman" w:eastAsia="Arial" w:hAnsi="Times New Roman" w:cs="Times New Roman"/>
                <w:b/>
                <w:sz w:val="19"/>
                <w:szCs w:val="19"/>
              </w:rPr>
              <w:t>Требования к месту, условиям и срокам (периодам) выполнения работ</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Выполнение работ по обеспечению Получателей протезами плеча с микропроцессорным управлением производится до «15» декабря 2024 года. </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Срок выполнения Работ со дня получения списков или обращения Получателя к Исполнителю по направлению Заказчика – не более 60 дней. </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Место выполнения работ для обеспечения Получателей протезами – Российская Федерация. Обмеры (примерки) и выдача Результата работ, требующие присутствие Получателя, производятся в Ивановской области, место выполнения иных работ определяется Исполнителем самостоятельно. Доставка готового изделия при необходимости по месту жительства Получателя. </w:t>
            </w:r>
            <w:r w:rsidRPr="00352B53">
              <w:rPr>
                <w:rFonts w:ascii="Times New Roman" w:eastAsia="Arial" w:hAnsi="Times New Roman" w:cs="Times New Roman"/>
                <w:sz w:val="19"/>
                <w:szCs w:val="19"/>
              </w:rPr>
              <w:lastRenderedPageBreak/>
              <w:t>Изготовление по индивидуальным слеп</w:t>
            </w:r>
            <w:r>
              <w:rPr>
                <w:rFonts w:ascii="Times New Roman" w:eastAsia="Arial" w:hAnsi="Times New Roman" w:cs="Times New Roman"/>
                <w:sz w:val="19"/>
                <w:szCs w:val="19"/>
              </w:rPr>
              <w:t xml:space="preserve">кам. </w:t>
            </w:r>
          </w:p>
          <w:p w:rsidR="00352B53" w:rsidRPr="00352B53" w:rsidRDefault="00352B53" w:rsidP="00352B53">
            <w:pPr>
              <w:shd w:val="clear" w:color="auto" w:fill="FFFFFF"/>
              <w:autoSpaceDE w:val="0"/>
              <w:spacing w:after="0" w:line="240" w:lineRule="auto"/>
              <w:ind w:left="131" w:right="131"/>
              <w:jc w:val="center"/>
              <w:rPr>
                <w:rFonts w:ascii="Times New Roman" w:eastAsia="Arial" w:hAnsi="Times New Roman" w:cs="Times New Roman"/>
                <w:b/>
                <w:sz w:val="19"/>
                <w:szCs w:val="19"/>
              </w:rPr>
            </w:pPr>
            <w:r w:rsidRPr="00352B53">
              <w:rPr>
                <w:rFonts w:ascii="Times New Roman" w:eastAsia="Arial" w:hAnsi="Times New Roman" w:cs="Times New Roman"/>
                <w:b/>
                <w:sz w:val="19"/>
                <w:szCs w:val="19"/>
              </w:rPr>
              <w:t>Требования к пункту выдачи Товара</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Пункт выдачи должен быть организован в г.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 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Пункт выдачи должен быть оборудован пандусами или иными приспособлениями для облегчения передвижения инвалидов,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Пункт выдачи должен быть оборудован камерами видеофиксации, которые будут вести видеозапись приема-передачи товара Получателям, а также телефонными аппаратами для консультации Получателей ТСР. </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Вход в пункт выдачи должен быть обозначен надписью (например, «Пункт выдачи ТСР для инвалидов»), позволяющей однозначно определить место нахождения указанного пункта. </w:t>
            </w:r>
          </w:p>
          <w:p w:rsidR="00352B53" w:rsidRPr="00352B53" w:rsidRDefault="00352B53" w:rsidP="00352B53">
            <w:pPr>
              <w:shd w:val="clear" w:color="auto" w:fill="FFFFFF"/>
              <w:autoSpaceDE w:val="0"/>
              <w:spacing w:after="0" w:line="240" w:lineRule="auto"/>
              <w:ind w:left="131" w:right="131"/>
              <w:jc w:val="both"/>
              <w:rPr>
                <w:rFonts w:ascii="Times New Roman" w:eastAsia="Arial" w:hAnsi="Times New Roman" w:cs="Times New Roman"/>
                <w:sz w:val="19"/>
                <w:szCs w:val="19"/>
              </w:rPr>
            </w:pPr>
            <w:r w:rsidRPr="00352B53">
              <w:rPr>
                <w:rFonts w:ascii="Times New Roman" w:eastAsia="Arial" w:hAnsi="Times New Roman" w:cs="Times New Roman"/>
                <w:sz w:val="19"/>
                <w:szCs w:val="19"/>
              </w:rPr>
              <w:t xml:space="preserve">Пункт выдачи должен иметь туалетную комнату, оборудованную для посещения инвалидами, в том числе инвалидами-колясочниками, со свободным и бесплатным доступом Получателей. </w:t>
            </w:r>
          </w:p>
          <w:p w:rsidR="005B6A61" w:rsidRDefault="00352B53" w:rsidP="00352B53">
            <w:pPr>
              <w:spacing w:after="0" w:line="240" w:lineRule="auto"/>
              <w:ind w:left="57" w:right="57"/>
              <w:jc w:val="both"/>
              <w:rPr>
                <w:rFonts w:ascii="Times New Roman" w:hAnsi="Times New Roman" w:cs="Times New Roman"/>
                <w:sz w:val="20"/>
                <w:szCs w:val="20"/>
                <w:lang w:eastAsia="zh-CN"/>
              </w:rPr>
            </w:pPr>
            <w:r w:rsidRPr="00352B53">
              <w:rPr>
                <w:rFonts w:ascii="Times New Roman" w:eastAsia="Arial" w:hAnsi="Times New Roman" w:cs="Times New Roman"/>
                <w:sz w:val="19"/>
                <w:szCs w:val="19"/>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r w:rsidR="007D2990" w:rsidRPr="00352B53">
              <w:rPr>
                <w:rFonts w:ascii="Times New Roman" w:eastAsia="Andale Sans UI" w:hAnsi="Times New Roman"/>
                <w:kern w:val="1"/>
                <w:sz w:val="19"/>
                <w:szCs w:val="19"/>
                <w:lang w:eastAsia="fa-IR" w:bidi="fa-IR"/>
              </w:rPr>
              <w:t>.</w:t>
            </w:r>
          </w:p>
        </w:tc>
        <w:tc>
          <w:tcPr>
            <w:tcW w:w="85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5B6A61" w:rsidRDefault="007D2990">
            <w:pPr>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1</w:t>
            </w:r>
          </w:p>
        </w:tc>
      </w:tr>
      <w:tr w:rsidR="005B6A61">
        <w:trPr>
          <w:trHeight w:val="213"/>
        </w:trPr>
        <w:tc>
          <w:tcPr>
            <w:tcW w:w="14092" w:type="dxa"/>
            <w:gridSpan w:val="4"/>
            <w:tcBorders>
              <w:right w:val="single" w:sz="1" w:space="0" w:color="000000"/>
            </w:tcBorders>
            <w:tcMar>
              <w:top w:w="55" w:type="dxa"/>
              <w:left w:w="55" w:type="dxa"/>
              <w:bottom w:w="55" w:type="dxa"/>
              <w:right w:w="55" w:type="dxa"/>
            </w:tcMar>
            <w:vAlign w:val="center"/>
          </w:tcPr>
          <w:p w:rsidR="005B6A61" w:rsidRDefault="005C45B5">
            <w:pPr>
              <w:shd w:val="clear" w:color="auto" w:fill="FFFFFF"/>
              <w:autoSpaceDE w:val="0"/>
              <w:spacing w:after="0" w:line="240" w:lineRule="auto"/>
              <w:ind w:left="131" w:right="131"/>
              <w:jc w:val="right"/>
              <w:rPr>
                <w:rFonts w:ascii="Times New Roman" w:eastAsia="Arial" w:hAnsi="Times New Roman" w:cs="Times New Roman"/>
                <w:b/>
                <w:sz w:val="20"/>
                <w:szCs w:val="20"/>
              </w:rPr>
            </w:pPr>
            <w:r>
              <w:rPr>
                <w:rFonts w:ascii="Times New Roman" w:eastAsia="Arial" w:hAnsi="Times New Roman" w:cs="Times New Roman"/>
                <w:b/>
                <w:sz w:val="20"/>
                <w:szCs w:val="20"/>
              </w:rPr>
              <w:lastRenderedPageBreak/>
              <w:t>ИТОГО:</w:t>
            </w:r>
          </w:p>
        </w:tc>
        <w:tc>
          <w:tcPr>
            <w:tcW w:w="85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vAlign w:val="center"/>
          </w:tcPr>
          <w:p w:rsidR="005B6A61" w:rsidRDefault="00995570">
            <w:pPr>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bl>
    <w:p w:rsidR="005B6A61" w:rsidRDefault="005B6A61" w:rsidP="00995570">
      <w:pPr>
        <w:tabs>
          <w:tab w:val="left" w:pos="705"/>
        </w:tabs>
        <w:spacing w:after="0" w:line="240" w:lineRule="auto"/>
        <w:jc w:val="both"/>
        <w:rPr>
          <w:rFonts w:ascii="Times New Roman" w:eastAsia="Times New Roman" w:hAnsi="Times New Roman" w:cs="Times New Roman"/>
          <w:bCs/>
          <w:sz w:val="24"/>
          <w:lang w:eastAsia="ar-SA"/>
        </w:rPr>
      </w:pPr>
    </w:p>
    <w:p w:rsidR="005B6A61" w:rsidRDefault="005C45B5" w:rsidP="00995570">
      <w:pPr>
        <w:autoSpaceDE w:val="0"/>
        <w:adjustRightInd w:val="0"/>
        <w:spacing w:after="0" w:line="240" w:lineRule="auto"/>
        <w:ind w:firstLine="851"/>
        <w:jc w:val="both"/>
        <w:rPr>
          <w:rFonts w:ascii="Times New Roman" w:eastAsia="Arial" w:hAnsi="Times New Roman" w:cs="Times New Roman"/>
          <w:color w:val="000000"/>
          <w:spacing w:val="-4"/>
          <w:sz w:val="24"/>
          <w:szCs w:val="20"/>
          <w:lang w:eastAsia="zh-CN"/>
        </w:rPr>
      </w:pPr>
      <w:r>
        <w:rPr>
          <w:rFonts w:ascii="Times New Roman" w:eastAsia="Arial" w:hAnsi="Times New Roman" w:cs="Times New Roman"/>
          <w:color w:val="000000"/>
          <w:spacing w:val="-4"/>
          <w:sz w:val="24"/>
          <w:szCs w:val="20"/>
          <w:lang w:eastAsia="zh-CN"/>
        </w:rPr>
        <w:t xml:space="preserve">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 </w:t>
      </w:r>
      <w:r>
        <w:rPr>
          <w:rFonts w:ascii="Times New Roman" w:eastAsia="Arial" w:hAnsi="Times New Roman" w:cs="Times New Roman"/>
          <w:i/>
          <w:color w:val="000000"/>
          <w:spacing w:val="-4"/>
          <w:sz w:val="24"/>
          <w:szCs w:val="20"/>
          <w:lang w:eastAsia="zh-CN"/>
        </w:rPr>
        <w:t>(в случае использования и/или не использования Заказчиком таких показателей).</w:t>
      </w:r>
    </w:p>
    <w:p w:rsidR="005B6A61" w:rsidRDefault="005C45B5">
      <w:pPr>
        <w:spacing w:after="0"/>
        <w:ind w:firstLine="851"/>
        <w:jc w:val="both"/>
        <w:rPr>
          <w:rFonts w:ascii="Times New Roman" w:eastAsia="Arial" w:hAnsi="Times New Roman" w:cs="Times New Roman"/>
          <w:color w:val="000000"/>
          <w:spacing w:val="-4"/>
          <w:sz w:val="24"/>
          <w:szCs w:val="20"/>
          <w:lang w:eastAsia="zh-CN"/>
        </w:rPr>
      </w:pPr>
      <w:r>
        <w:rPr>
          <w:rFonts w:ascii="Times New Roman" w:eastAsia="Arial" w:hAnsi="Times New Roman" w:cs="Times New Roman"/>
          <w:color w:val="000000"/>
          <w:spacing w:val="-4"/>
          <w:sz w:val="24"/>
          <w:szCs w:val="20"/>
          <w:lang w:eastAsia="zh-CN"/>
        </w:rPr>
        <w:t>После проведения закупки</w:t>
      </w:r>
      <w:r>
        <w:rPr>
          <w:rFonts w:ascii="Times New Roman" w:hAnsi="Times New Roman" w:cs="Times New Roman"/>
          <w:color w:val="000000"/>
          <w:sz w:val="24"/>
          <w:szCs w:val="20"/>
          <w:lang w:eastAsia="zh-CN"/>
        </w:rPr>
        <w:t xml:space="preserve"> </w:t>
      </w:r>
      <w:r>
        <w:rPr>
          <w:rFonts w:ascii="Times New Roman" w:eastAsia="Arial" w:hAnsi="Times New Roman" w:cs="Times New Roman"/>
          <w:color w:val="000000"/>
          <w:spacing w:val="-4"/>
          <w:sz w:val="24"/>
          <w:szCs w:val="20"/>
          <w:lang w:eastAsia="zh-CN"/>
        </w:rPr>
        <w:t>цена за единицу товара (работы, услуги) определяется путем снижения начальной (максимальной) цены за единицу товара (работы, услуги) пропорционально снижению начальной (максимальной) цены контракта.</w:t>
      </w:r>
    </w:p>
    <w:p w:rsidR="005B6A61" w:rsidRDefault="005B6A61">
      <w:pPr>
        <w:tabs>
          <w:tab w:val="left" w:pos="705"/>
        </w:tabs>
        <w:jc w:val="both"/>
        <w:rPr>
          <w:rFonts w:ascii="Times New Roman" w:eastAsia="Times New Roman" w:hAnsi="Times New Roman" w:cs="Times New Roman"/>
          <w:bCs/>
          <w:sz w:val="24"/>
          <w:lang w:eastAsia="ar-SA"/>
        </w:rPr>
      </w:pPr>
    </w:p>
    <w:p w:rsidR="005B6A61" w:rsidRDefault="005B6A61">
      <w:pPr>
        <w:spacing w:after="0"/>
        <w:ind w:firstLine="851"/>
        <w:jc w:val="both"/>
        <w:rPr>
          <w:rFonts w:ascii="Times New Roman" w:eastAsia="Arial" w:hAnsi="Times New Roman" w:cs="Times New Roman"/>
          <w:color w:val="000000"/>
          <w:spacing w:val="-4"/>
          <w:sz w:val="24"/>
          <w:szCs w:val="20"/>
          <w:lang w:eastAsia="zh-CN"/>
        </w:rPr>
      </w:pPr>
    </w:p>
    <w:sectPr w:rsidR="005B6A61" w:rsidSect="00DD6220">
      <w:footerReference w:type="default" r:id="rId6"/>
      <w:pgSz w:w="16838" w:h="11905" w:orient="landscape"/>
      <w:pgMar w:top="1135" w:right="820" w:bottom="850" w:left="1134"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A61" w:rsidRDefault="005C45B5">
      <w:pPr>
        <w:spacing w:after="0" w:line="240" w:lineRule="auto"/>
      </w:pPr>
      <w:r>
        <w:separator/>
      </w:r>
    </w:p>
  </w:endnote>
  <w:endnote w:type="continuationSeparator" w:id="0">
    <w:p w:rsidR="005B6A61" w:rsidRDefault="005C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106895"/>
      <w:docPartObj>
        <w:docPartGallery w:val="Page Numbers (Bottom of Page)"/>
        <w:docPartUnique/>
      </w:docPartObj>
    </w:sdtPr>
    <w:sdtEndPr/>
    <w:sdtContent>
      <w:p w:rsidR="005B6A61" w:rsidRDefault="005C45B5">
        <w:pPr>
          <w:pStyle w:val="af"/>
          <w:jc w:val="center"/>
        </w:pPr>
        <w:r>
          <w:fldChar w:fldCharType="begin"/>
        </w:r>
        <w:r>
          <w:instrText>PAGE   \* MERGEFORMAT</w:instrText>
        </w:r>
        <w:r>
          <w:fldChar w:fldCharType="separate"/>
        </w:r>
        <w:r w:rsidR="00BB2424">
          <w:rPr>
            <w:noProof/>
          </w:rPr>
          <w:t>1</w:t>
        </w:r>
        <w:r>
          <w:fldChar w:fldCharType="end"/>
        </w:r>
      </w:p>
    </w:sdtContent>
  </w:sdt>
  <w:p w:rsidR="005B6A61" w:rsidRDefault="005B6A6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A61" w:rsidRDefault="005C45B5">
      <w:pPr>
        <w:spacing w:after="0" w:line="240" w:lineRule="auto"/>
      </w:pPr>
      <w:r>
        <w:separator/>
      </w:r>
    </w:p>
  </w:footnote>
  <w:footnote w:type="continuationSeparator" w:id="0">
    <w:p w:rsidR="005B6A61" w:rsidRDefault="005C45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61"/>
    <w:rsid w:val="001166C8"/>
    <w:rsid w:val="00352B53"/>
    <w:rsid w:val="003A40F8"/>
    <w:rsid w:val="005B6A61"/>
    <w:rsid w:val="005C2A98"/>
    <w:rsid w:val="005C45B5"/>
    <w:rsid w:val="007D2990"/>
    <w:rsid w:val="00940420"/>
    <w:rsid w:val="00995570"/>
    <w:rsid w:val="00A12069"/>
    <w:rsid w:val="00BB2424"/>
    <w:rsid w:val="00D41C80"/>
    <w:rsid w:val="00DD6220"/>
    <w:rsid w:val="00E60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C8E583-BE4E-4631-A5A3-21F44D60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paragraph" w:styleId="a4">
    <w:name w:val="annotation text"/>
    <w:basedOn w:val="a"/>
    <w:link w:val="a5"/>
    <w:uiPriority w:val="99"/>
    <w:semiHidden/>
    <w:unhideWhenUsed/>
    <w:pPr>
      <w:spacing w:line="240" w:lineRule="auto"/>
    </w:pPr>
    <w:rPr>
      <w:sz w:val="20"/>
      <w:szCs w:val="20"/>
    </w:rPr>
  </w:style>
  <w:style w:type="character" w:customStyle="1" w:styleId="a5">
    <w:name w:val="Текст примечания Знак"/>
    <w:basedOn w:val="a0"/>
    <w:link w:val="a4"/>
    <w:uiPriority w:val="99"/>
    <w:semiHidden/>
    <w:rPr>
      <w:sz w:val="20"/>
      <w:szCs w:val="20"/>
    </w:rPr>
  </w:style>
  <w:style w:type="paragraph" w:styleId="a6">
    <w:name w:val="annotation subject"/>
    <w:basedOn w:val="a4"/>
    <w:next w:val="a4"/>
    <w:link w:val="a7"/>
    <w:uiPriority w:val="99"/>
    <w:semiHidden/>
    <w:unhideWhenUsed/>
    <w:rPr>
      <w:b/>
      <w:bCs/>
    </w:rPr>
  </w:style>
  <w:style w:type="character" w:customStyle="1" w:styleId="a7">
    <w:name w:val="Тема примечания Знак"/>
    <w:basedOn w:val="a5"/>
    <w:link w:val="a6"/>
    <w:uiPriority w:val="99"/>
    <w:semiHidden/>
    <w:rPr>
      <w:b/>
      <w:bCs/>
      <w:sz w:val="20"/>
      <w:szCs w:val="20"/>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hAnsi="Segoe UI" w:cs="Segoe UI"/>
      <w:sz w:val="18"/>
      <w:szCs w:val="18"/>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b"/>
    <w:uiPriority w:val="99"/>
    <w:unhideWhenUsed/>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Pr>
      <w:vertAlign w:val="superscript"/>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 w:type="character" w:customStyle="1" w:styleId="121">
    <w:name w:val="Знак12 Знак Знак1"/>
    <w:aliases w:val="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Знак1 Зна Знак1"/>
    <w:basedOn w:val="a0"/>
    <w:rPr>
      <w:rFonts w:ascii="Times New Roman" w:eastAsia="Times New Roman" w:hAnsi="Times New Roman" w:cs="Times New Roman"/>
      <w:sz w:val="20"/>
      <w:szCs w:val="20"/>
      <w:lang w:eastAsia="zh-CN"/>
    </w:rPr>
  </w:style>
  <w:style w:type="character" w:customStyle="1" w:styleId="ng-binding">
    <w:name w:val="ng-binding"/>
    <w:basedOn w:val="a0"/>
  </w:style>
  <w:style w:type="paragraph" w:styleId="3">
    <w:name w:val="Body Text 3"/>
    <w:basedOn w:val="a"/>
    <w:link w:val="30"/>
    <w:uiPriority w:val="99"/>
    <w:unhideWhenUsed/>
    <w:pPr>
      <w:suppressAutoHyphens/>
      <w:spacing w:after="120" w:line="100" w:lineRule="atLeast"/>
      <w:textAlignment w:val="baseline"/>
    </w:pPr>
    <w:rPr>
      <w:rFonts w:ascii="Times New Roman" w:eastAsia="Times New Roman" w:hAnsi="Times New Roman" w:cs="Times New Roman"/>
      <w:kern w:val="1"/>
      <w:sz w:val="16"/>
      <w:szCs w:val="16"/>
      <w:lang w:eastAsia="ar-SA"/>
    </w:rPr>
  </w:style>
  <w:style w:type="character" w:customStyle="1" w:styleId="30">
    <w:name w:val="Основной текст 3 Знак"/>
    <w:basedOn w:val="a0"/>
    <w:link w:val="3"/>
    <w:uiPriority w:val="99"/>
    <w:rPr>
      <w:rFonts w:ascii="Times New Roman" w:eastAsia="Times New Roman" w:hAnsi="Times New Roman" w:cs="Times New Roman"/>
      <w:kern w:val="1"/>
      <w:sz w:val="16"/>
      <w:szCs w:val="16"/>
      <w:lang w:eastAsia="ar-SA"/>
    </w:rPr>
  </w:style>
  <w:style w:type="paragraph" w:styleId="af1">
    <w:name w:val="List Paragraph"/>
    <w:basedOn w:val="a"/>
    <w:uiPriority w:val="34"/>
    <w:qFormat/>
    <w:pPr>
      <w:ind w:left="720"/>
      <w:contextualSpacing/>
    </w:pPr>
  </w:style>
  <w:style w:type="paragraph" w:styleId="af2">
    <w:name w:val="Body Text"/>
    <w:basedOn w:val="a"/>
    <w:link w:val="af3"/>
    <w:uiPriority w:val="99"/>
    <w:semiHidden/>
    <w:unhideWhenUsed/>
    <w:pPr>
      <w:spacing w:after="120"/>
    </w:pPr>
  </w:style>
  <w:style w:type="character" w:customStyle="1" w:styleId="af3">
    <w:name w:val="Основной текст Знак"/>
    <w:basedOn w:val="a0"/>
    <w:link w:val="af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1687</Words>
  <Characters>9621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Абрамова Наталья Александровна</cp:lastModifiedBy>
  <cp:revision>47</cp:revision>
  <dcterms:created xsi:type="dcterms:W3CDTF">2022-06-24T08:09:00Z</dcterms:created>
  <dcterms:modified xsi:type="dcterms:W3CDTF">2023-11-10T12:22:00Z</dcterms:modified>
</cp:coreProperties>
</file>