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2" w:rsidRPr="00EE752F" w:rsidRDefault="00962AA2" w:rsidP="00EF2578">
      <w:pPr>
        <w:keepNext/>
        <w:keepLines/>
        <w:jc w:val="center"/>
        <w:rPr>
          <w:rFonts w:eastAsia="Times New Roman CYR"/>
          <w:b/>
          <w:bCs/>
          <w:iCs/>
        </w:rPr>
      </w:pPr>
      <w:r w:rsidRPr="00EE752F">
        <w:rPr>
          <w:rFonts w:eastAsia="Times New Roman CYR"/>
          <w:b/>
          <w:bCs/>
          <w:iCs/>
        </w:rPr>
        <w:t xml:space="preserve">Техническое задание к проведению </w:t>
      </w:r>
      <w:r w:rsidR="00C87ABA" w:rsidRPr="00EE752F">
        <w:rPr>
          <w:rFonts w:eastAsia="Times New Roman CYR"/>
          <w:b/>
          <w:bCs/>
          <w:iCs/>
        </w:rPr>
        <w:t xml:space="preserve">электронного </w:t>
      </w:r>
      <w:r w:rsidR="00F33E64" w:rsidRPr="00EE752F">
        <w:rPr>
          <w:rFonts w:eastAsia="Times New Roman CYR"/>
          <w:b/>
          <w:bCs/>
          <w:iCs/>
        </w:rPr>
        <w:t>аукциона</w:t>
      </w:r>
    </w:p>
    <w:p w:rsidR="00EE752F" w:rsidRPr="00EE752F" w:rsidRDefault="00EE752F" w:rsidP="00EF2578">
      <w:pPr>
        <w:pStyle w:val="western"/>
        <w:keepNext/>
        <w:keepLines/>
        <w:spacing w:before="0" w:after="0"/>
        <w:ind w:firstLine="720"/>
        <w:rPr>
          <w:spacing w:val="2"/>
          <w:sz w:val="24"/>
          <w:szCs w:val="24"/>
        </w:rPr>
      </w:pPr>
      <w:r w:rsidRPr="00EE752F">
        <w:rPr>
          <w:sz w:val="24"/>
          <w:szCs w:val="24"/>
        </w:rPr>
        <w:t xml:space="preserve">на выполнение работ </w:t>
      </w:r>
      <w:r w:rsidRPr="00EE752F">
        <w:rPr>
          <w:spacing w:val="2"/>
          <w:sz w:val="24"/>
          <w:szCs w:val="24"/>
        </w:rPr>
        <w:t xml:space="preserve">по изготовлению протезов нижних конечностей </w:t>
      </w:r>
    </w:p>
    <w:p w:rsidR="00EE752F" w:rsidRPr="00EE752F" w:rsidRDefault="00EE752F" w:rsidP="00EF2578">
      <w:pPr>
        <w:pStyle w:val="western"/>
        <w:keepNext/>
        <w:keepLines/>
        <w:spacing w:before="0" w:after="0"/>
        <w:ind w:firstLine="720"/>
        <w:rPr>
          <w:spacing w:val="2"/>
          <w:sz w:val="24"/>
          <w:szCs w:val="24"/>
        </w:rPr>
      </w:pPr>
      <w:r w:rsidRPr="00EE752F">
        <w:rPr>
          <w:spacing w:val="2"/>
          <w:sz w:val="24"/>
          <w:szCs w:val="24"/>
        </w:rPr>
        <w:t>для обеспечения пострадавших от несчастных случаев на производстве</w:t>
      </w:r>
    </w:p>
    <w:p w:rsidR="00EE752F" w:rsidRPr="00EE752F" w:rsidRDefault="00EE752F" w:rsidP="00EF2578">
      <w:pPr>
        <w:pStyle w:val="western"/>
        <w:keepNext/>
        <w:keepLines/>
        <w:spacing w:before="0" w:after="0"/>
        <w:ind w:firstLine="720"/>
        <w:rPr>
          <w:spacing w:val="2"/>
          <w:sz w:val="24"/>
          <w:szCs w:val="24"/>
        </w:rPr>
      </w:pPr>
      <w:r w:rsidRPr="00EE752F">
        <w:rPr>
          <w:spacing w:val="2"/>
          <w:sz w:val="24"/>
          <w:szCs w:val="24"/>
        </w:rPr>
        <w:t>и профессиональных заболеваний</w:t>
      </w:r>
    </w:p>
    <w:p w:rsidR="00EE752F" w:rsidRPr="00EE752F" w:rsidRDefault="00EE752F" w:rsidP="00EF2578">
      <w:pPr>
        <w:pStyle w:val="western"/>
        <w:keepNext/>
        <w:keepLines/>
        <w:spacing w:before="0" w:after="0"/>
        <w:ind w:firstLine="720"/>
        <w:rPr>
          <w:bCs w:val="0"/>
          <w:sz w:val="24"/>
          <w:szCs w:val="24"/>
        </w:rPr>
      </w:pPr>
      <w:r w:rsidRPr="00EE752F">
        <w:rPr>
          <w:spacing w:val="2"/>
          <w:sz w:val="24"/>
          <w:szCs w:val="24"/>
        </w:rPr>
        <w:t>(для субъектов малого предпринимательства)</w:t>
      </w:r>
    </w:p>
    <w:p w:rsidR="00792379" w:rsidRPr="00EE752F" w:rsidRDefault="00792379" w:rsidP="00EF2578">
      <w:pPr>
        <w:keepNext/>
        <w:keepLines/>
        <w:jc w:val="center"/>
        <w:rPr>
          <w:rFonts w:eastAsia="Times New Roman CYR"/>
          <w:b/>
          <w:bCs/>
          <w:iCs/>
        </w:rPr>
      </w:pPr>
    </w:p>
    <w:p w:rsidR="005C0C74" w:rsidRPr="00EE752F" w:rsidRDefault="005C0C74" w:rsidP="00EF2578">
      <w:pPr>
        <w:keepNext/>
        <w:keepLines/>
        <w:jc w:val="center"/>
        <w:rPr>
          <w:rFonts w:eastAsia="Times New Roman CYR"/>
          <w:b/>
          <w:bCs/>
          <w:iCs/>
        </w:rPr>
      </w:pP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</w:pPr>
      <w:r w:rsidRPr="00EE752F">
        <w:rPr>
          <w:color w:val="000000"/>
        </w:rPr>
        <w:t xml:space="preserve">Протезы </w:t>
      </w:r>
      <w:r w:rsidRPr="00EE752F">
        <w:rPr>
          <w:bCs/>
        </w:rPr>
        <w:t xml:space="preserve">нижних </w:t>
      </w:r>
      <w:r w:rsidRPr="00EE752F">
        <w:rPr>
          <w:color w:val="000000"/>
        </w:rPr>
        <w:t xml:space="preserve">конечностей (далее - протезы) должны отвечать требованиям Национального стандарта Российской Федерации ГОСТ Р 53869-2021 «Протезы нижних конечностей. Технические требования»,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EE752F">
        <w:rPr>
          <w:bCs/>
        </w:rPr>
        <w:t>ГОСТ</w:t>
      </w:r>
      <w:r w:rsidRPr="00EE752F">
        <w:t>Р</w:t>
      </w:r>
      <w:r w:rsidRPr="00EE752F">
        <w:rPr>
          <w:bCs/>
        </w:rPr>
        <w:t>51819</w:t>
      </w:r>
      <w:r w:rsidRPr="00EE752F">
        <w:t>-</w:t>
      </w:r>
      <w:r w:rsidRPr="00EE752F">
        <w:rPr>
          <w:bCs/>
        </w:rPr>
        <w:t>2017</w:t>
      </w:r>
      <w:r w:rsidRPr="00EE752F">
        <w:t xml:space="preserve"> «Протезирование и </w:t>
      </w:r>
      <w:proofErr w:type="spellStart"/>
      <w:r w:rsidRPr="00EE752F">
        <w:t>ортезирование</w:t>
      </w:r>
      <w:proofErr w:type="spellEnd"/>
      <w:r w:rsidRPr="00EE752F">
        <w:t xml:space="preserve"> верхних и нижних конечностей. Термины и определения».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Протезы должны изготавливаться по индивидуальным заказам пострадавших.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</w:pPr>
      <w:r w:rsidRPr="00EE752F">
        <w:t xml:space="preserve">Протезы должны быть </w:t>
      </w:r>
      <w:proofErr w:type="spellStart"/>
      <w:r w:rsidRPr="00EE752F">
        <w:t>ремонтнопригодными</w:t>
      </w:r>
      <w:proofErr w:type="spellEnd"/>
      <w:r w:rsidRPr="00EE752F">
        <w:t xml:space="preserve"> в течение срока службы.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</w:pPr>
      <w:r w:rsidRPr="00EE752F">
        <w:t>Протезы должны быть устойчивы к воздействию агрессивных биологических жидкостей(пота, мочи).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</w:pPr>
      <w:r w:rsidRPr="00EE752F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 xml:space="preserve">Приемная гильза протеза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протезом. 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Внутренняя форма приемной гильзы должна соответствовать индивидуальным параметром культи конечности в приданном положении и не должно оказывать чрезмерного давления на культю при нагрузке и без нее.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 xml:space="preserve">На внутренней поверхности гильз не должно быть неровностей, морщин, складок, </w:t>
      </w:r>
      <w:proofErr w:type="spellStart"/>
      <w:r w:rsidRPr="00EE752F">
        <w:rPr>
          <w:b w:val="0"/>
          <w:sz w:val="24"/>
        </w:rPr>
        <w:t>заминов</w:t>
      </w:r>
      <w:proofErr w:type="spellEnd"/>
      <w:r w:rsidRPr="00EE752F">
        <w:rPr>
          <w:b w:val="0"/>
          <w:sz w:val="24"/>
        </w:rPr>
        <w:t>, отслоений смягчающей подкладки.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Элементы крепления протеза должны надежно удерживать протез на культе пострадавшего и не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Движение в шарнирных соединениях узлов протеза должно быть плавное, легкое, без заеданий. Должны отсутствовать осевые и радиальные люфты в стыкуемых узлах, а также стуки, шумы, скрипы при ходьбе на протезе.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 xml:space="preserve">Конструкцией протеза стопы должны быть обеспечены частичная разгрузка </w:t>
      </w:r>
      <w:proofErr w:type="spellStart"/>
      <w:r w:rsidRPr="00EE752F">
        <w:rPr>
          <w:b w:val="0"/>
          <w:sz w:val="24"/>
        </w:rPr>
        <w:t>опороспособной</w:t>
      </w:r>
      <w:proofErr w:type="spellEnd"/>
      <w:r w:rsidRPr="00EE752F">
        <w:rPr>
          <w:b w:val="0"/>
          <w:sz w:val="24"/>
        </w:rPr>
        <w:t xml:space="preserve"> культи и полная разгрузка </w:t>
      </w:r>
      <w:proofErr w:type="spellStart"/>
      <w:r w:rsidRPr="00EE752F">
        <w:rPr>
          <w:b w:val="0"/>
          <w:sz w:val="24"/>
        </w:rPr>
        <w:t>неопороспособной</w:t>
      </w:r>
      <w:proofErr w:type="spellEnd"/>
      <w:r w:rsidRPr="00EE752F">
        <w:rPr>
          <w:b w:val="0"/>
          <w:sz w:val="24"/>
        </w:rPr>
        <w:t xml:space="preserve"> культи.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Косметический протез конечности должен восполнять форму и внешний вид отсутствующей ее части.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В состав протезов нижних конечностей должны входить сопутствующие изделия: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- ключ протезный – 1 шт.;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- чехол – 3 шт.;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 xml:space="preserve">- оболочка трикотажная к протезам с облицовкой из </w:t>
      </w:r>
      <w:proofErr w:type="spellStart"/>
      <w:r w:rsidRPr="00EE752F">
        <w:rPr>
          <w:b w:val="0"/>
          <w:sz w:val="24"/>
        </w:rPr>
        <w:t>пенополиуретана</w:t>
      </w:r>
      <w:proofErr w:type="spellEnd"/>
      <w:r w:rsidRPr="00EE752F">
        <w:rPr>
          <w:b w:val="0"/>
          <w:sz w:val="24"/>
        </w:rPr>
        <w:t xml:space="preserve"> – 1 шт.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Работы по изготовлению протезов для обеспечения пострадавших при сложном протезировании, при первичном протезировании пострадавших, при сложной подгонке, обучение ходьбе на протезе первичных пострадавших должны производиться в специализированном стационаре.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Работы следует считать эффективно исполненными, 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для обеспечения пострадавших должны быть выполнены с надлежащим качеством и в установленные сроки.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sz w:val="24"/>
        </w:rPr>
      </w:pPr>
      <w:r w:rsidRPr="00EE752F">
        <w:rPr>
          <w:b w:val="0"/>
          <w:sz w:val="24"/>
        </w:rPr>
        <w:t>Работы по изготовлению протезов для обеспечения пострадавших должны быть выполнены с надлежащим качеством и в установленные сроки.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rFonts w:eastAsia="Times New Roman CYR"/>
          <w:b w:val="0"/>
          <w:iCs/>
          <w:color w:val="000000"/>
          <w:spacing w:val="-1"/>
          <w:sz w:val="24"/>
        </w:rPr>
      </w:pPr>
      <w:r w:rsidRPr="00EE752F">
        <w:rPr>
          <w:rFonts w:eastAsia="Times New Roman CYR"/>
          <w:b w:val="0"/>
          <w:iCs/>
          <w:color w:val="000000"/>
          <w:spacing w:val="-1"/>
          <w:sz w:val="24"/>
        </w:rPr>
        <w:t>Маркировка протезов должна соответствовать требованиям ГОСТ Р ИСО 22523-2007, подраздел 13.2, и ТУ на протез конкретного вида.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color w:val="000000"/>
          <w:sz w:val="24"/>
        </w:rPr>
      </w:pPr>
      <w:r w:rsidRPr="00EE752F">
        <w:rPr>
          <w:b w:val="0"/>
          <w:color w:val="000000"/>
          <w:sz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color w:val="000000"/>
          <w:sz w:val="24"/>
        </w:rPr>
      </w:pPr>
      <w:r w:rsidRPr="00EE752F">
        <w:rPr>
          <w:b w:val="0"/>
          <w:color w:val="000000"/>
          <w:sz w:val="24"/>
        </w:rPr>
        <w:lastRenderedPageBreak/>
        <w:t>Материалы, применяемые при изготовлении протезов, должны соответствовать требованиям ГОСТ Р ИСО 22523-2007, подраздел 5.1.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b w:val="0"/>
          <w:color w:val="000000"/>
          <w:sz w:val="24"/>
        </w:rPr>
      </w:pPr>
      <w:r w:rsidRPr="00EE752F">
        <w:rPr>
          <w:b w:val="0"/>
          <w:color w:val="000000"/>
          <w:sz w:val="24"/>
        </w:rPr>
        <w:t>Материалы приемных гильз протезов, контактирующих с телом пострадавших, должны соответствовать требованиям биологической безопасности по ГОСТ Р ИСО 10993-1-2011, ГОСТ Р ИСО 10993-5-2011 и ГОСТ Р ИСО 10993-10-2011.</w:t>
      </w:r>
    </w:p>
    <w:p w:rsidR="00EE752F" w:rsidRPr="00EE752F" w:rsidRDefault="00EE752F" w:rsidP="00EF2578">
      <w:pPr>
        <w:pStyle w:val="a1"/>
        <w:keepNext/>
        <w:keepLines/>
        <w:spacing w:line="228" w:lineRule="auto"/>
        <w:ind w:right="-58" w:firstLine="567"/>
        <w:jc w:val="both"/>
        <w:rPr>
          <w:rFonts w:eastAsia="Times New Roman CYR"/>
          <w:b w:val="0"/>
          <w:iCs/>
          <w:color w:val="000000"/>
          <w:spacing w:val="-1"/>
          <w:sz w:val="24"/>
        </w:rPr>
      </w:pPr>
      <w:r w:rsidRPr="00EE752F">
        <w:rPr>
          <w:rFonts w:eastAsia="Times New Roman CYR"/>
          <w:b w:val="0"/>
          <w:iCs/>
          <w:color w:val="000000"/>
          <w:spacing w:val="-1"/>
          <w:sz w:val="24"/>
        </w:rPr>
        <w:t xml:space="preserve">Металлические детали протезов нижних конечностей должны быть изготовлены из </w:t>
      </w:r>
      <w:proofErr w:type="spellStart"/>
      <w:r w:rsidRPr="00EE752F">
        <w:rPr>
          <w:rFonts w:eastAsia="Times New Roman CYR"/>
          <w:b w:val="0"/>
          <w:iCs/>
          <w:color w:val="000000"/>
          <w:spacing w:val="-1"/>
          <w:sz w:val="24"/>
        </w:rPr>
        <w:t>коррозионностойких</w:t>
      </w:r>
      <w:proofErr w:type="spellEnd"/>
      <w:r w:rsidRPr="00EE752F">
        <w:rPr>
          <w:rFonts w:eastAsia="Times New Roman CYR"/>
          <w:b w:val="0"/>
          <w:iCs/>
          <w:color w:val="000000"/>
          <w:spacing w:val="-1"/>
          <w:sz w:val="24"/>
        </w:rPr>
        <w:t xml:space="preserve"> материалов или иметь защитные или защитно-декоративные покрытия по ГОСТ 9.301-86.</w:t>
      </w:r>
    </w:p>
    <w:p w:rsidR="00EE752F" w:rsidRPr="00EE752F" w:rsidRDefault="00EE752F" w:rsidP="00EF2578">
      <w:pPr>
        <w:keepNext/>
        <w:keepLines/>
        <w:spacing w:line="228" w:lineRule="auto"/>
        <w:jc w:val="center"/>
        <w:rPr>
          <w:rFonts w:eastAsia="Times New Roman CYR"/>
          <w:b/>
          <w:bCs/>
          <w:iCs/>
        </w:rPr>
      </w:pPr>
      <w:r w:rsidRPr="00EE752F">
        <w:rPr>
          <w:rFonts w:eastAsia="Times New Roman CYR"/>
          <w:b/>
          <w:bCs/>
          <w:iCs/>
        </w:rPr>
        <w:t>Срок службы и гарантийный срок эксплуатации изделия</w:t>
      </w:r>
    </w:p>
    <w:p w:rsidR="00EE752F" w:rsidRPr="00EE752F" w:rsidRDefault="00EE752F" w:rsidP="00EF2578">
      <w:pPr>
        <w:keepNext/>
        <w:keepLines/>
        <w:spacing w:line="228" w:lineRule="auto"/>
        <w:ind w:firstLine="709"/>
        <w:jc w:val="both"/>
        <w:rPr>
          <w:color w:val="000000"/>
          <w:spacing w:val="-4"/>
          <w:lang w:eastAsia="ru-RU"/>
        </w:rPr>
      </w:pPr>
      <w:r w:rsidRPr="00EE752F">
        <w:rPr>
          <w:color w:val="000000"/>
          <w:spacing w:val="-4"/>
          <w:lang w:eastAsia="ru-RU"/>
        </w:rPr>
        <w:t>Исполнитель должен гарантировать, что протезно-ортопедическое изделие  является новым и не будет иметь дефектов связанных с разработкой,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условиях.</w:t>
      </w:r>
    </w:p>
    <w:p w:rsidR="00EE752F" w:rsidRPr="00EE752F" w:rsidRDefault="00EE752F" w:rsidP="00EF2578">
      <w:pPr>
        <w:keepNext/>
        <w:keepLines/>
        <w:spacing w:line="228" w:lineRule="auto"/>
        <w:ind w:firstLine="567"/>
        <w:jc w:val="both"/>
        <w:rPr>
          <w:color w:val="000000"/>
          <w:lang w:eastAsia="ru-RU"/>
        </w:rPr>
      </w:pPr>
      <w:r w:rsidRPr="00EE752F">
        <w:rPr>
          <w:color w:val="000000"/>
          <w:lang w:eastAsia="ru-RU"/>
        </w:rPr>
        <w:t>Срок службы на протез устанавливается с даты подписания Акта о приемке работ Получателем и должен составлять не менее 2 (двух) лет.</w:t>
      </w:r>
    </w:p>
    <w:p w:rsidR="00EE752F" w:rsidRPr="00EE752F" w:rsidRDefault="00EE752F" w:rsidP="00EF2578">
      <w:pPr>
        <w:keepNext/>
        <w:keepLines/>
        <w:spacing w:line="228" w:lineRule="auto"/>
        <w:ind w:firstLine="567"/>
        <w:jc w:val="both"/>
        <w:rPr>
          <w:color w:val="000000"/>
          <w:lang w:eastAsia="ru-RU"/>
        </w:rPr>
      </w:pPr>
      <w:r w:rsidRPr="00EE752F">
        <w:rPr>
          <w:color w:val="000000"/>
          <w:lang w:eastAsia="ru-RU"/>
        </w:rPr>
        <w:t>Срок предоставления гарантии качества на выполненные работ для протезов устанавливается с даты подписания Акта о приемке работ Получателем и составляет не менее 12 месяцев.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lang w:eastAsia="ru-RU"/>
        </w:rPr>
      </w:pPr>
      <w:r w:rsidRPr="00EE752F">
        <w:rPr>
          <w:lang w:eastAsia="ru-RU"/>
        </w:rPr>
        <w:t>Срок гарантийного ремонта со дня обращения Получателя не должен превышать 30 дней.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lang w:eastAsia="ru-RU"/>
        </w:rPr>
      </w:pPr>
      <w:r w:rsidRPr="00EE752F">
        <w:rPr>
          <w:lang w:eastAsia="ru-RU"/>
        </w:rPr>
        <w:t>Обязательно наличие гарантийного талона, дающего право на бесплатный ремонт изделия во время гарантийного срока пользования.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color w:val="000000"/>
          <w:lang w:eastAsia="ru-RU"/>
        </w:rPr>
      </w:pPr>
      <w:r w:rsidRPr="00EE752F">
        <w:rPr>
          <w:lang w:eastAsia="ru-RU"/>
        </w:rPr>
        <w:t xml:space="preserve">Обязательно указание в Акте </w:t>
      </w:r>
      <w:r w:rsidRPr="00EE752F">
        <w:rPr>
          <w:color w:val="000000"/>
          <w:lang w:eastAsia="ru-RU"/>
        </w:rPr>
        <w:t>о приемке Работ Получателем</w:t>
      </w:r>
      <w:r w:rsidRPr="00EE752F">
        <w:rPr>
          <w:lang w:eastAsia="ru-RU"/>
        </w:rPr>
        <w:t xml:space="preserve">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color w:val="000000"/>
          <w:lang w:eastAsia="ru-RU"/>
        </w:rPr>
      </w:pPr>
      <w:r w:rsidRPr="00EE752F">
        <w:rPr>
          <w:color w:val="000000"/>
          <w:lang w:eastAsia="ru-RU"/>
        </w:rPr>
        <w:t>Обеспечение возможности ремонта при выполнении работ по обеспечению протезами нижних конечностей осуществляется в соответствии с Законом Российской Федерации от 07.02.1992 № 2300-1 «О защите прав потребителей».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rFonts w:eastAsia="Times New Roman CYR"/>
          <w:bCs/>
          <w:iCs/>
          <w:color w:val="000000"/>
          <w:spacing w:val="-3"/>
        </w:rPr>
      </w:pPr>
      <w:r w:rsidRPr="00EE752F">
        <w:rPr>
          <w:rFonts w:eastAsia="Times New Roman CYR"/>
          <w:bCs/>
          <w:iCs/>
          <w:color w:val="000000"/>
          <w:spacing w:val="-3"/>
        </w:rPr>
        <w:t>В соответствии с приказом Министерства труда и социальной защиты Российской Федерации от 05.03.2021 №107н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пострадавшему от несчастного случая  на производстве  и профессиональных заболеваний. В случае если сроки службы, установленные изготовителем ПОИ, превышают сроки пользования ПОИ, утверждённые приказом Минтруда России, замена таких ПОИ осуществляется региональным отделением Фонда по истечении сроков службы, установленных изготовителем ПОИ.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rFonts w:eastAsia="Times New Roman CYR"/>
          <w:bCs/>
          <w:iCs/>
          <w:color w:val="000000"/>
          <w:spacing w:val="-3"/>
        </w:rPr>
      </w:pPr>
    </w:p>
    <w:p w:rsidR="00EE752F" w:rsidRPr="00EE752F" w:rsidRDefault="00EE752F" w:rsidP="00EF2578">
      <w:pPr>
        <w:pStyle w:val="western"/>
        <w:keepNext/>
        <w:keepLines/>
        <w:spacing w:before="0" w:after="0"/>
        <w:ind w:firstLine="720"/>
        <w:jc w:val="both"/>
        <w:rPr>
          <w:sz w:val="24"/>
          <w:szCs w:val="24"/>
        </w:rPr>
      </w:pPr>
      <w:r w:rsidRPr="00EE752F">
        <w:rPr>
          <w:sz w:val="24"/>
          <w:szCs w:val="24"/>
          <w:shd w:val="clear" w:color="auto" w:fill="FFFFFF"/>
        </w:rPr>
        <w:t>Объём выполняемых работ</w:t>
      </w:r>
      <w:r w:rsidRPr="00EE752F">
        <w:rPr>
          <w:sz w:val="24"/>
          <w:szCs w:val="24"/>
        </w:rPr>
        <w:t>: 26 штук, в том числе:</w:t>
      </w:r>
    </w:p>
    <w:p w:rsidR="00EE752F" w:rsidRPr="00EE752F" w:rsidRDefault="00EE752F" w:rsidP="00EF2578">
      <w:pPr>
        <w:keepNext/>
        <w:keepLines/>
        <w:shd w:val="clear" w:color="auto" w:fill="FFFFFF"/>
        <w:spacing w:line="228" w:lineRule="auto"/>
        <w:ind w:firstLine="567"/>
        <w:jc w:val="both"/>
        <w:rPr>
          <w:rFonts w:eastAsia="Times New Roman CYR"/>
          <w:bCs/>
          <w:iCs/>
          <w:color w:val="000000"/>
          <w:spacing w:val="-3"/>
        </w:rPr>
      </w:pPr>
    </w:p>
    <w:tbl>
      <w:tblPr>
        <w:tblStyle w:val="afc"/>
        <w:tblW w:w="0" w:type="auto"/>
        <w:tblLook w:val="04A0"/>
      </w:tblPr>
      <w:tblGrid>
        <w:gridCol w:w="2288"/>
        <w:gridCol w:w="5617"/>
        <w:gridCol w:w="1275"/>
        <w:gridCol w:w="1411"/>
      </w:tblGrid>
      <w:tr w:rsidR="00EE752F" w:rsidRPr="00EE752F" w:rsidTr="00EE752F"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5617" w:type="dxa"/>
          </w:tcPr>
          <w:p w:rsidR="00EE752F" w:rsidRPr="00EE752F" w:rsidRDefault="00EE752F" w:rsidP="00EF2578">
            <w:pPr>
              <w:keepNext/>
              <w:keepLines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Характеристики Работ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52F" w:rsidRPr="00EE752F" w:rsidRDefault="00EE752F" w:rsidP="00EF2578">
            <w:pPr>
              <w:keepNext/>
              <w:keepLines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 xml:space="preserve">Объем </w:t>
            </w:r>
            <w:proofErr w:type="spellStart"/>
            <w:r w:rsidRPr="00EE752F">
              <w:rPr>
                <w:color w:val="000000"/>
                <w:lang w:eastAsia="ru-RU"/>
              </w:rPr>
              <w:t>Работ,шт</w:t>
            </w:r>
            <w:proofErr w:type="spellEnd"/>
            <w:r w:rsidRPr="00EE752F">
              <w:rPr>
                <w:color w:val="000000"/>
                <w:lang w:eastAsia="ru-RU"/>
              </w:rPr>
              <w:t>.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EE752F" w:rsidRPr="00EE752F" w:rsidRDefault="00EE752F" w:rsidP="00EF2578">
            <w:pPr>
              <w:keepNext/>
              <w:keepLines/>
              <w:spacing w:before="100" w:beforeAutospacing="1"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НМЦК (руб., коп.)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  <w:snapToGrid w:val="0"/>
              <w:ind w:firstLine="34"/>
              <w:rPr>
                <w:color w:val="000000"/>
              </w:rPr>
            </w:pPr>
            <w:r w:rsidRPr="00EE752F">
              <w:t xml:space="preserve">Протез бедра </w:t>
            </w:r>
            <w:proofErr w:type="spellStart"/>
            <w:r w:rsidRPr="00EE752F">
              <w:t>модульный,в</w:t>
            </w:r>
            <w:proofErr w:type="spellEnd"/>
            <w:r w:rsidRPr="00EE752F">
              <w:t xml:space="preserve">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jc w:val="both"/>
              <w:rPr>
                <w:color w:val="000000"/>
              </w:rPr>
            </w:pPr>
            <w:r w:rsidRPr="00EE752F">
              <w:rPr>
                <w:color w:val="000000"/>
              </w:rPr>
              <w:t xml:space="preserve">Протез бедра должен быть модульный для </w:t>
            </w:r>
            <w:proofErr w:type="spellStart"/>
            <w:r w:rsidRPr="00EE752F">
              <w:rPr>
                <w:color w:val="000000"/>
              </w:rPr>
              <w:t>пострадавших</w:t>
            </w:r>
            <w:r w:rsidRPr="00EE752F">
              <w:t>от</w:t>
            </w:r>
            <w:proofErr w:type="spellEnd"/>
            <w:r w:rsidRPr="00EE752F">
              <w:t xml:space="preserve"> несчастных случаев на производстве и профессиональных заболеваний (далее - пострадавшие)</w:t>
            </w:r>
            <w:r w:rsidRPr="00EE752F">
              <w:rPr>
                <w:color w:val="000000"/>
              </w:rPr>
              <w:t xml:space="preserve">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</w:t>
            </w:r>
            <w:r w:rsidRPr="00EE752F">
              <w:rPr>
                <w:color w:val="000000"/>
              </w:rPr>
              <w:lastRenderedPageBreak/>
              <w:t xml:space="preserve">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E752F">
              <w:rPr>
                <w:color w:val="000000"/>
              </w:rPr>
              <w:t>перлоновые</w:t>
            </w:r>
            <w:proofErr w:type="spellEnd"/>
            <w:r w:rsidRPr="00EE752F">
              <w:rPr>
                <w:color w:val="000000"/>
              </w:rPr>
              <w:t xml:space="preserve"> или силиконовые.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протеза: любой, по назначению.</w:t>
            </w:r>
          </w:p>
          <w:p w:rsidR="00EE752F" w:rsidRPr="00EE752F" w:rsidRDefault="00EE752F" w:rsidP="00EF2578">
            <w:pPr>
              <w:keepNext/>
              <w:keepLines/>
              <w:snapToGri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  <w:lang w:eastAsia="ru-RU"/>
              </w:rPr>
            </w:pPr>
          </w:p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t>193525</w:t>
            </w:r>
            <w:r w:rsidRPr="00EE752F">
              <w:rPr>
                <w:color w:val="000000"/>
              </w:rPr>
              <w:t>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snapToGrid w:val="0"/>
              <w:ind w:firstLine="34"/>
              <w:jc w:val="both"/>
              <w:rPr>
                <w:color w:val="000000"/>
              </w:rPr>
            </w:pPr>
            <w:r w:rsidRPr="00EE752F">
              <w:t xml:space="preserve">Протез бедра должен быть модульный для </w:t>
            </w:r>
            <w:proofErr w:type="spellStart"/>
            <w:r w:rsidRPr="00EE752F">
              <w:t>пострадавшихс</w:t>
            </w:r>
            <w:proofErr w:type="spellEnd"/>
            <w:r w:rsidRPr="00EE752F">
              <w:t xml:space="preserve">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механизмом торможения  или модуль коленный четырехосный. Стопа должна быть с высокой подвижностью и гибкостью.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E752F">
              <w:t>перлоновые</w:t>
            </w:r>
            <w:proofErr w:type="spellEnd"/>
            <w:r w:rsidRPr="00EE752F">
              <w:t xml:space="preserve"> или </w:t>
            </w:r>
            <w:r w:rsidRPr="00EE752F">
              <w:rPr>
                <w:color w:val="000000"/>
              </w:rPr>
              <w:t>силиконовые</w:t>
            </w:r>
            <w:r w:rsidRPr="00EE752F"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634260,00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t>Протез бедра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snapToGrid w:val="0"/>
              <w:ind w:firstLine="34"/>
              <w:jc w:val="both"/>
              <w:rPr>
                <w:color w:val="000000"/>
              </w:rPr>
            </w:pPr>
            <w:r w:rsidRPr="00EE752F">
              <w:rPr>
                <w:lang w:eastAsia="ru-RU"/>
              </w:rPr>
              <w:t xml:space="preserve">Протез бедра должен быть модульный для </w:t>
            </w:r>
            <w:proofErr w:type="spellStart"/>
            <w:r w:rsidRPr="00EE752F">
              <w:rPr>
                <w:lang w:eastAsia="ru-RU"/>
              </w:rPr>
              <w:t>пострадавшихс</w:t>
            </w:r>
            <w:proofErr w:type="spellEnd"/>
            <w:r w:rsidRPr="00EE752F">
              <w:rPr>
                <w:lang w:eastAsia="ru-RU"/>
              </w:rPr>
              <w:t xml:space="preserve"> средней степенью активности. Приёмных гильз должно быть две: </w:t>
            </w:r>
            <w:r w:rsidRPr="00EE752F">
              <w:t xml:space="preserve">одна индивидуальная, </w:t>
            </w:r>
            <w:r w:rsidRPr="00EE752F">
              <w:rPr>
                <w:lang w:eastAsia="ru-RU"/>
              </w:rPr>
              <w:t xml:space="preserve">(одна пробная гильза). </w:t>
            </w:r>
            <w:r w:rsidRPr="00EE752F">
              <w:rPr>
                <w:color w:val="000000"/>
              </w:rPr>
              <w:t xml:space="preserve">Материал индивидуальной гильзы должен быть: литьевой слоистый пластик на основе акриловых смол, листовой термопластичный пластик, </w:t>
            </w:r>
            <w:r w:rsidRPr="00EE752F">
              <w:rPr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EE752F">
              <w:rPr>
                <w:lang w:eastAsia="ru-RU"/>
              </w:rPr>
              <w:t>двухкамернойпневмосистемой</w:t>
            </w:r>
            <w:proofErr w:type="spellEnd"/>
            <w:r w:rsidRPr="00EE752F">
              <w:rPr>
                <w:lang w:eastAsia="ru-RU"/>
              </w:rPr>
              <w:t xml:space="preserve">, или модуль </w:t>
            </w:r>
            <w:r w:rsidRPr="00EE752F">
              <w:rPr>
                <w:lang w:eastAsia="ru-RU"/>
              </w:rPr>
              <w:lastRenderedPageBreak/>
              <w:t xml:space="preserve">коленный четырехосный.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EE752F">
              <w:rPr>
                <w:lang w:eastAsia="ru-RU"/>
              </w:rPr>
              <w:t>перлоновые</w:t>
            </w:r>
            <w:proofErr w:type="spellEnd"/>
            <w:r w:rsidRPr="00EE752F">
              <w:rPr>
                <w:lang w:eastAsia="ru-RU"/>
              </w:rPr>
              <w:t xml:space="preserve"> или </w:t>
            </w:r>
            <w:r w:rsidRPr="00EE752F">
              <w:rPr>
                <w:color w:val="000000"/>
              </w:rPr>
              <w:t>силиконовые</w:t>
            </w:r>
            <w:r w:rsidRPr="00EE752F">
              <w:rPr>
                <w:lang w:eastAsia="ru-RU"/>
              </w:rPr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955620,00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snapToGrid w:val="0"/>
              <w:ind w:firstLine="34"/>
              <w:jc w:val="both"/>
              <w:rPr>
                <w:color w:val="000000"/>
              </w:rPr>
            </w:pPr>
            <w:r w:rsidRPr="00EE752F">
              <w:t xml:space="preserve">Протез бедра должен быть модульный для </w:t>
            </w:r>
            <w:proofErr w:type="spellStart"/>
            <w:r w:rsidRPr="00EE752F">
              <w:t>пострадавшихс</w:t>
            </w:r>
            <w:proofErr w:type="spellEnd"/>
            <w:r w:rsidRPr="00EE752F">
              <w:t xml:space="preserve"> средней степенью активности. Приёмных гильз должно быть две (одна пробная гильза). </w:t>
            </w:r>
            <w:r w:rsidRPr="00EE752F">
              <w:rPr>
                <w:color w:val="000000"/>
              </w:rPr>
              <w:t xml:space="preserve">Материал индивидуальной гильзы должен быть: литьевой слоистый пластик на основе акриловых смол, листовой термопластичный пластик, </w:t>
            </w:r>
            <w:r w:rsidRPr="00EE752F"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должно быть  поясное или с использованием бедренного бандажа из эластичных материалов. Коленный шарнир должен быть гидравлический многозвенный, для контролируемого подгибания колена при </w:t>
            </w:r>
            <w:proofErr w:type="spellStart"/>
            <w:r w:rsidRPr="00EE752F">
              <w:t>наступании</w:t>
            </w:r>
            <w:proofErr w:type="spellEnd"/>
            <w:r w:rsidRPr="00EE752F">
              <w:t xml:space="preserve"> на пятку и гидравлическим управлением фазой переноса. </w:t>
            </w:r>
            <w:proofErr w:type="spellStart"/>
            <w:r w:rsidRPr="00EE752F">
              <w:t>Стопадолжна</w:t>
            </w:r>
            <w:proofErr w:type="spellEnd"/>
            <w:r w:rsidRPr="00EE752F">
              <w:t xml:space="preserve"> быть с высокой подвижностью и гибкостью.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E752F">
              <w:t>перлоновые</w:t>
            </w:r>
            <w:proofErr w:type="spellEnd"/>
            <w:r w:rsidRPr="00EE752F">
              <w:t xml:space="preserve"> или </w:t>
            </w:r>
            <w:r w:rsidRPr="00EE752F">
              <w:rPr>
                <w:color w:val="000000"/>
              </w:rPr>
              <w:t>силиконовые</w:t>
            </w:r>
            <w:r w:rsidRPr="00EE752F">
              <w:t>. Модели стоп и коленного шарнира должны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  <w:lang w:eastAsia="ru-RU"/>
              </w:rPr>
            </w:pPr>
            <w:r w:rsidRPr="00EE752F">
              <w:rPr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1402500,00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  <w:snapToGrid w:val="0"/>
              <w:ind w:firstLine="34"/>
              <w:rPr>
                <w:color w:val="000000"/>
              </w:rPr>
            </w:pPr>
            <w:r w:rsidRPr="00EE752F">
              <w:t>Протез голени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jc w:val="both"/>
              <w:rPr>
                <w:color w:val="000000"/>
              </w:rPr>
            </w:pPr>
            <w:r w:rsidRPr="00EE752F">
              <w:rPr>
                <w:color w:val="000000"/>
              </w:rPr>
              <w:t xml:space="preserve">Протез голени модульный должен быть для пострадавших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должно допускаться </w:t>
            </w:r>
            <w:r w:rsidRPr="00EE752F">
              <w:rPr>
                <w:color w:val="000000"/>
              </w:rPr>
              <w:lastRenderedPageBreak/>
              <w:t xml:space="preserve">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Должно быть косметическое покрытие облицовки: чулки ортопедические </w:t>
            </w:r>
            <w:proofErr w:type="spellStart"/>
            <w:r w:rsidRPr="00EE752F">
              <w:rPr>
                <w:color w:val="000000"/>
              </w:rPr>
              <w:t>перлоновые</w:t>
            </w:r>
            <w:proofErr w:type="spellEnd"/>
            <w:r w:rsidRPr="00EE752F">
              <w:rPr>
                <w:color w:val="000000"/>
              </w:rPr>
              <w:t xml:space="preserve"> или </w:t>
            </w:r>
            <w:proofErr w:type="spellStart"/>
            <w:r w:rsidRPr="00EE752F">
              <w:rPr>
                <w:color w:val="000000"/>
              </w:rPr>
              <w:t>силоновые</w:t>
            </w:r>
            <w:proofErr w:type="spellEnd"/>
            <w:r w:rsidRPr="00EE752F">
              <w:rPr>
                <w:color w:val="00000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 должен быть: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</w:pPr>
            <w:r w:rsidRPr="00EE752F">
              <w:lastRenderedPageBreak/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399720,00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lastRenderedPageBreak/>
              <w:t>Протез голени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rPr>
                <w:color w:val="000000"/>
              </w:rPr>
            </w:pPr>
            <w:r w:rsidRPr="00EE752F">
              <w:rPr>
                <w:color w:val="000000"/>
              </w:rPr>
              <w:t xml:space="preserve">Протез голени модульный должен быть для пострадавших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 в индивидуальных случаях с применением вкладных гильз из вспененных материалов. Материал пробной гильзы должен быть листовой термопластичный пластик. Крепление протеза должно быть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должны быть: чулки ортопедические </w:t>
            </w:r>
            <w:proofErr w:type="spellStart"/>
            <w:r w:rsidRPr="00EE752F">
              <w:rPr>
                <w:color w:val="000000"/>
              </w:rPr>
              <w:t>перлоновые</w:t>
            </w:r>
            <w:proofErr w:type="spellEnd"/>
            <w:r w:rsidRPr="00EE752F">
              <w:rPr>
                <w:color w:val="000000"/>
              </w:rPr>
              <w:t xml:space="preserve"> или </w:t>
            </w:r>
            <w:proofErr w:type="spellStart"/>
            <w:r w:rsidRPr="00EE752F">
              <w:rPr>
                <w:color w:val="000000"/>
              </w:rPr>
              <w:t>силоновые</w:t>
            </w:r>
            <w:proofErr w:type="spellEnd"/>
            <w:r w:rsidRPr="00EE752F">
              <w:rPr>
                <w:color w:val="00000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должен быть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highlight w:val="yellow"/>
              </w:rPr>
            </w:pPr>
            <w:r w:rsidRPr="00EE752F"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684240,00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t>Протез голени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jc w:val="both"/>
              <w:rPr>
                <w:color w:val="000000"/>
              </w:rPr>
            </w:pPr>
            <w:r w:rsidRPr="00EE752F">
              <w:rPr>
                <w:color w:val="000000"/>
              </w:rPr>
              <w:t>Протез голени модульный должен быть для пострадавших с низкой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индивидуальных случаях должен быть с применением вкладных гильз из вспененных материалов или</w:t>
            </w:r>
            <w:r w:rsidRPr="00EE752F">
              <w:rPr>
                <w:lang w:eastAsia="ru-RU"/>
              </w:rPr>
              <w:t xml:space="preserve"> чехла полимерного </w:t>
            </w:r>
            <w:proofErr w:type="spellStart"/>
            <w:r w:rsidRPr="00EE752F">
              <w:rPr>
                <w:lang w:eastAsia="ru-RU"/>
              </w:rPr>
              <w:t>гелевого</w:t>
            </w:r>
            <w:proofErr w:type="spellEnd"/>
            <w:r w:rsidRPr="00EE752F">
              <w:rPr>
                <w:color w:val="000000"/>
              </w:rPr>
              <w:t xml:space="preserve">, крепление должно быть с использованием замка или вакуумной мембраны, наколенника. Стопа должна быть с высокой степенью устойчивости в положении стоя и при ходьбе. Регулировочно-соединительные устройства должны </w:t>
            </w:r>
            <w:r w:rsidRPr="00EE752F">
              <w:rPr>
                <w:color w:val="000000"/>
              </w:rPr>
              <w:lastRenderedPageBreak/>
              <w:t xml:space="preserve">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E752F">
              <w:rPr>
                <w:color w:val="000000"/>
              </w:rPr>
              <w:t>перлоновые</w:t>
            </w:r>
            <w:proofErr w:type="spellEnd"/>
            <w:r w:rsidRPr="00EE752F">
              <w:rPr>
                <w:color w:val="000000"/>
              </w:rPr>
              <w:t xml:space="preserve"> или </w:t>
            </w:r>
            <w:proofErr w:type="spellStart"/>
            <w:r w:rsidRPr="00EE752F">
              <w:rPr>
                <w:color w:val="000000"/>
              </w:rPr>
              <w:t>силоновые</w:t>
            </w:r>
            <w:proofErr w:type="spellEnd"/>
            <w:r w:rsidRPr="00EE752F">
              <w:rPr>
                <w:color w:val="00000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 должен быть: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</w:pPr>
            <w:r w:rsidRPr="00EE752F">
              <w:lastRenderedPageBreak/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577260,00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lastRenderedPageBreak/>
              <w:t>Протез голени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jc w:val="both"/>
              <w:rPr>
                <w:color w:val="000000"/>
              </w:rPr>
            </w:pPr>
            <w:r w:rsidRPr="00EE752F">
              <w:rPr>
                <w:color w:val="000000"/>
              </w:rPr>
              <w:t xml:space="preserve">Протез голени модульный должен быть для </w:t>
            </w:r>
            <w:proofErr w:type="spellStart"/>
            <w:r w:rsidRPr="00EE752F">
              <w:rPr>
                <w:color w:val="000000"/>
              </w:rPr>
              <w:t>пострадавшихс</w:t>
            </w:r>
            <w:proofErr w:type="spellEnd"/>
            <w:r w:rsidRPr="00EE752F">
              <w:rPr>
                <w:color w:val="000000"/>
              </w:rPr>
              <w:t xml:space="preserve"> средний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EE752F">
              <w:rPr>
                <w:color w:val="000000"/>
              </w:rPr>
              <w:t>гелевые</w:t>
            </w:r>
            <w:proofErr w:type="spellEnd"/>
            <w:r w:rsidRPr="00EE752F">
              <w:rPr>
                <w:color w:val="000000"/>
              </w:rPr>
              <w:t xml:space="preserve">, крепление должно быть с использованием замка или вакуумной мембраны, наколенника. Стопа должна быть с высокой подвижностью и гибкостью.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EE752F">
              <w:rPr>
                <w:color w:val="000000"/>
              </w:rPr>
              <w:t>перлоновые</w:t>
            </w:r>
            <w:proofErr w:type="spellEnd"/>
            <w:r w:rsidRPr="00EE752F">
              <w:rPr>
                <w:color w:val="000000"/>
              </w:rPr>
              <w:t xml:space="preserve"> или </w:t>
            </w:r>
            <w:proofErr w:type="spellStart"/>
            <w:r w:rsidRPr="00EE752F">
              <w:rPr>
                <w:color w:val="000000"/>
              </w:rPr>
              <w:t>силоновые</w:t>
            </w:r>
            <w:proofErr w:type="spellEnd"/>
            <w:r w:rsidRPr="00EE752F">
              <w:rPr>
                <w:color w:val="000000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 должен быть: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</w:pPr>
            <w:r w:rsidRPr="00EE752F"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945160,00</w:t>
            </w:r>
          </w:p>
        </w:tc>
      </w:tr>
      <w:tr w:rsidR="00EE752F" w:rsidRPr="00EE752F" w:rsidTr="00EE752F">
        <w:trPr>
          <w:trHeight w:val="841"/>
        </w:trPr>
        <w:tc>
          <w:tcPr>
            <w:tcW w:w="2288" w:type="dxa"/>
          </w:tcPr>
          <w:p w:rsidR="00EE752F" w:rsidRPr="00EE752F" w:rsidRDefault="00EE752F" w:rsidP="00EF2578">
            <w:pPr>
              <w:keepNext/>
              <w:keepLines/>
            </w:pPr>
            <w:r w:rsidRPr="00EE752F">
              <w:t>Протез голени модульный, в том числе при врожденном недоразвитии</w:t>
            </w:r>
          </w:p>
        </w:tc>
        <w:tc>
          <w:tcPr>
            <w:tcW w:w="5617" w:type="dxa"/>
            <w:vAlign w:val="center"/>
          </w:tcPr>
          <w:p w:rsidR="00EE752F" w:rsidRPr="00EE752F" w:rsidRDefault="00EE752F" w:rsidP="00EF2578">
            <w:pPr>
              <w:keepNext/>
              <w:keepLines/>
              <w:autoSpaceDE w:val="0"/>
              <w:jc w:val="both"/>
              <w:rPr>
                <w:color w:val="000000"/>
              </w:rPr>
            </w:pPr>
            <w:r w:rsidRPr="00EE752F">
              <w:t>Протез голени модульный должен быть для пострадавших с высокой степенью активности. Приёмных гильз должно быть две: одна индивидуальная, (одна пробная гильза). Материал постоянной гильзы должен быть: слоистый пластик на основе акриловых смол. Материал пробной гильзы должен быть: листовой термопластичный пластик.</w:t>
            </w:r>
            <w:r w:rsidRPr="00EE752F">
              <w:rPr>
                <w:color w:val="000000"/>
              </w:rPr>
              <w:t xml:space="preserve"> В индивидуальных случаях должно быть  применение вкладных гильз из вспененных материалов или</w:t>
            </w:r>
            <w:r w:rsidRPr="00EE752F">
              <w:rPr>
                <w:lang w:eastAsia="ru-RU"/>
              </w:rPr>
              <w:t xml:space="preserve"> чехла полимерного </w:t>
            </w:r>
            <w:proofErr w:type="spellStart"/>
            <w:r w:rsidRPr="00EE752F">
              <w:rPr>
                <w:lang w:eastAsia="ru-RU"/>
              </w:rPr>
              <w:t>гелевого</w:t>
            </w:r>
            <w:proofErr w:type="spellEnd"/>
            <w:r w:rsidRPr="00EE752F">
              <w:rPr>
                <w:color w:val="000000"/>
              </w:rPr>
              <w:t>.</w:t>
            </w:r>
            <w:r w:rsidRPr="00EE752F">
              <w:t xml:space="preserve"> Крепление должно быть с использованием наколенника. Стопа должна быть с легким перекатом, хорошей отдачей энергии и компенсацией неровностей пола. Регулировочно-соединительные устройства должны соответствовать весу пострадавшего. Формообразующая часть косметической облицовки должна быть модульная мягкая полиуретановая или листовой поролон. Косметическое покрытие </w:t>
            </w:r>
            <w:r w:rsidRPr="00EE752F">
              <w:lastRenderedPageBreak/>
              <w:t xml:space="preserve">облицовки должно быть: чулки ортопедические </w:t>
            </w:r>
            <w:proofErr w:type="spellStart"/>
            <w:r w:rsidRPr="00EE752F">
              <w:t>перлоновые</w:t>
            </w:r>
            <w:proofErr w:type="spellEnd"/>
            <w:r w:rsidRPr="00EE752F">
              <w:t xml:space="preserve"> или </w:t>
            </w:r>
            <w:proofErr w:type="spellStart"/>
            <w:r w:rsidRPr="00EE752F">
              <w:t>силоновые</w:t>
            </w:r>
            <w:proofErr w:type="spellEnd"/>
            <w:r w:rsidRPr="00EE752F">
              <w:t>. Модель стопы должна применяться в зависимости от медицинских показаний по протезированию, индивидуальной потребности и предпочтений конкретного пострадавшего в соответствии со степенью активности. Тип протеза должен быть: любой, по назначению.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lastRenderedPageBreak/>
              <w:t>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EE752F" w:rsidRPr="00EE752F" w:rsidRDefault="00EE752F" w:rsidP="00EF2578">
            <w:pPr>
              <w:keepNext/>
              <w:keepLines/>
              <w:jc w:val="center"/>
              <w:rPr>
                <w:color w:val="000000"/>
              </w:rPr>
            </w:pPr>
            <w:r w:rsidRPr="00EE752F">
              <w:rPr>
                <w:color w:val="000000"/>
              </w:rPr>
              <w:t>1442910,00</w:t>
            </w:r>
          </w:p>
        </w:tc>
      </w:tr>
    </w:tbl>
    <w:p w:rsidR="005E3176" w:rsidRPr="00EE752F" w:rsidRDefault="005E3176" w:rsidP="00EF2578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</w:rPr>
      </w:pPr>
    </w:p>
    <w:p w:rsidR="00EE752F" w:rsidRPr="00EE752F" w:rsidRDefault="00EE752F" w:rsidP="00EF2578">
      <w:pPr>
        <w:pStyle w:val="af4"/>
        <w:keepNext/>
        <w:keepLines/>
        <w:numPr>
          <w:ilvl w:val="0"/>
          <w:numId w:val="5"/>
        </w:numPr>
        <w:jc w:val="both"/>
        <w:rPr>
          <w:b/>
          <w:bCs/>
          <w:lang w:eastAsia="ru-RU"/>
        </w:rPr>
      </w:pPr>
      <w:r w:rsidRPr="00EE752F">
        <w:rPr>
          <w:b/>
          <w:bCs/>
          <w:lang w:eastAsia="ru-RU"/>
        </w:rPr>
        <w:t xml:space="preserve">            Место выполнения работ:</w:t>
      </w:r>
    </w:p>
    <w:p w:rsidR="00EE752F" w:rsidRPr="00EE752F" w:rsidRDefault="00EE752F" w:rsidP="00EF2578">
      <w:pPr>
        <w:pStyle w:val="af4"/>
        <w:keepNext/>
        <w:keepLines/>
        <w:numPr>
          <w:ilvl w:val="0"/>
          <w:numId w:val="5"/>
        </w:numPr>
        <w:jc w:val="both"/>
        <w:rPr>
          <w:b/>
          <w:bCs/>
          <w:lang w:eastAsia="ru-RU"/>
        </w:rPr>
      </w:pPr>
      <w:r w:rsidRPr="00EE752F">
        <w:rPr>
          <w:color w:val="000000"/>
          <w:spacing w:val="-2"/>
          <w:lang w:eastAsia="ru-RU"/>
        </w:rPr>
        <w:t xml:space="preserve">по месту нахождения Исполнителя, оформление индивидуального заказа и передача протезно-ортопедических изделий </w:t>
      </w:r>
      <w:proofErr w:type="spellStart"/>
      <w:r w:rsidRPr="00EE752F">
        <w:rPr>
          <w:color w:val="000000"/>
          <w:spacing w:val="-2"/>
          <w:lang w:eastAsia="ru-RU"/>
        </w:rPr>
        <w:t>маломобильным</w:t>
      </w:r>
      <w:proofErr w:type="spellEnd"/>
      <w:r w:rsidRPr="00EE752F">
        <w:rPr>
          <w:color w:val="000000"/>
          <w:spacing w:val="-2"/>
          <w:lang w:eastAsia="ru-RU"/>
        </w:rPr>
        <w:t xml:space="preserve"> Получателям осуществляется по месту их жительства, а при необходимости — по месту нахождения Исполнителя.</w:t>
      </w:r>
    </w:p>
    <w:p w:rsidR="00EE752F" w:rsidRPr="00EE752F" w:rsidRDefault="00EE752F" w:rsidP="00EF2578">
      <w:pPr>
        <w:pStyle w:val="af4"/>
        <w:keepNext/>
        <w:keepLines/>
        <w:numPr>
          <w:ilvl w:val="0"/>
          <w:numId w:val="5"/>
        </w:numPr>
        <w:jc w:val="both"/>
        <w:rPr>
          <w:b/>
          <w:color w:val="000000"/>
          <w:lang w:eastAsia="ru-RU"/>
        </w:rPr>
      </w:pPr>
      <w:r w:rsidRPr="00EE752F">
        <w:rPr>
          <w:b/>
          <w:color w:val="000000"/>
          <w:lang w:eastAsia="ru-RU"/>
        </w:rPr>
        <w:t xml:space="preserve">           Срок и условия выполнения работ:</w:t>
      </w:r>
    </w:p>
    <w:p w:rsidR="00EE752F" w:rsidRPr="00EE752F" w:rsidRDefault="00EE752F" w:rsidP="00EF2578">
      <w:pPr>
        <w:pStyle w:val="af4"/>
        <w:keepNext/>
        <w:keepLines/>
        <w:numPr>
          <w:ilvl w:val="0"/>
          <w:numId w:val="5"/>
        </w:numPr>
        <w:jc w:val="both"/>
        <w:rPr>
          <w:lang w:eastAsia="ru-RU"/>
        </w:rPr>
      </w:pPr>
      <w:r w:rsidRPr="00EE752F">
        <w:rPr>
          <w:color w:val="000000"/>
          <w:lang w:eastAsia="ru-RU"/>
        </w:rPr>
        <w:t xml:space="preserve">Исполнитель выполняет работы по индивидуальным заказам Получателей и обеспечивает Получателей протезно-ортопедическими изделиями в течение </w:t>
      </w:r>
      <w:r w:rsidRPr="00EE752F">
        <w:t>45 календарных дней с даты получения</w:t>
      </w:r>
      <w:r>
        <w:t xml:space="preserve"> </w:t>
      </w:r>
      <w:r w:rsidRPr="00EE752F">
        <w:rPr>
          <w:color w:val="000000"/>
          <w:lang w:eastAsia="ru-RU"/>
        </w:rPr>
        <w:t>Направления, выданного заказчиком, от Получателя, либо разнарядки, выданной Заказчиком.</w:t>
      </w:r>
    </w:p>
    <w:p w:rsidR="00EE752F" w:rsidRPr="00EE752F" w:rsidRDefault="00EE752F" w:rsidP="00EF2578">
      <w:pPr>
        <w:pStyle w:val="af4"/>
        <w:keepNext/>
        <w:keepLines/>
        <w:numPr>
          <w:ilvl w:val="0"/>
          <w:numId w:val="5"/>
        </w:numPr>
        <w:jc w:val="both"/>
        <w:rPr>
          <w:lang w:eastAsia="ru-RU"/>
        </w:rPr>
      </w:pPr>
      <w:r w:rsidRPr="00EE752F">
        <w:rPr>
          <w:color w:val="000000"/>
          <w:spacing w:val="-2"/>
          <w:lang w:eastAsia="ru-RU"/>
        </w:rPr>
        <w:t>Передача протезно-ортопедического изделия Получателю производится Исполнителем при представлении Получателем паспорта и Направления, но не позднее 03.10.2022.</w:t>
      </w:r>
    </w:p>
    <w:p w:rsidR="009843FA" w:rsidRPr="00EE752F" w:rsidRDefault="009843FA" w:rsidP="00EF2578">
      <w:pPr>
        <w:pStyle w:val="af4"/>
        <w:keepNext/>
        <w:keepLines/>
        <w:numPr>
          <w:ilvl w:val="0"/>
          <w:numId w:val="5"/>
        </w:numPr>
        <w:ind w:firstLine="709"/>
        <w:jc w:val="both"/>
        <w:rPr>
          <w:bCs/>
          <w:iCs/>
        </w:rPr>
      </w:pPr>
      <w:r w:rsidRPr="00EE752F">
        <w:rPr>
          <w:bCs/>
          <w:iCs/>
        </w:rPr>
        <w:t xml:space="preserve">Предполагаемый срок размещения закупки </w:t>
      </w:r>
      <w:r w:rsidR="00EE752F" w:rsidRPr="00EE752F">
        <w:rPr>
          <w:bCs/>
          <w:iCs/>
        </w:rPr>
        <w:t>декабрь</w:t>
      </w:r>
      <w:r w:rsidRPr="00EE752F">
        <w:rPr>
          <w:bCs/>
          <w:iCs/>
        </w:rPr>
        <w:t xml:space="preserve"> 2021 года.</w:t>
      </w:r>
    </w:p>
    <w:p w:rsidR="000D0723" w:rsidRPr="004708B3" w:rsidRDefault="000D0723" w:rsidP="009843FA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172D4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565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4E53"/>
    <w:rsid w:val="00177D97"/>
    <w:rsid w:val="001B21BB"/>
    <w:rsid w:val="001B4869"/>
    <w:rsid w:val="001C0BB2"/>
    <w:rsid w:val="001C217B"/>
    <w:rsid w:val="001C4DC6"/>
    <w:rsid w:val="001C4F36"/>
    <w:rsid w:val="001C6CE9"/>
    <w:rsid w:val="001D43BA"/>
    <w:rsid w:val="001E38FA"/>
    <w:rsid w:val="001E6CB2"/>
    <w:rsid w:val="001F1935"/>
    <w:rsid w:val="001F46BD"/>
    <w:rsid w:val="00205299"/>
    <w:rsid w:val="00206E94"/>
    <w:rsid w:val="00215D6A"/>
    <w:rsid w:val="00244CEC"/>
    <w:rsid w:val="002654BE"/>
    <w:rsid w:val="00265B70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1D6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C260B"/>
    <w:rsid w:val="006C4049"/>
    <w:rsid w:val="006C68AD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35788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51EA"/>
    <w:rsid w:val="007E72EF"/>
    <w:rsid w:val="007F2315"/>
    <w:rsid w:val="007F2D4C"/>
    <w:rsid w:val="00802A4D"/>
    <w:rsid w:val="00806791"/>
    <w:rsid w:val="00813BC4"/>
    <w:rsid w:val="008260A8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1FCA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843FA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54AA1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294B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668F"/>
    <w:rsid w:val="00C87ABA"/>
    <w:rsid w:val="00C910A1"/>
    <w:rsid w:val="00C911E6"/>
    <w:rsid w:val="00C91527"/>
    <w:rsid w:val="00C91F66"/>
    <w:rsid w:val="00C9623C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6B42"/>
    <w:rsid w:val="00E37171"/>
    <w:rsid w:val="00E41DA7"/>
    <w:rsid w:val="00E4242A"/>
    <w:rsid w:val="00E53DA6"/>
    <w:rsid w:val="00E63DC6"/>
    <w:rsid w:val="00E7112B"/>
    <w:rsid w:val="00E769B6"/>
    <w:rsid w:val="00E8471C"/>
    <w:rsid w:val="00EA2557"/>
    <w:rsid w:val="00EC0E59"/>
    <w:rsid w:val="00EC572C"/>
    <w:rsid w:val="00ED27B3"/>
    <w:rsid w:val="00ED399F"/>
    <w:rsid w:val="00ED469D"/>
    <w:rsid w:val="00ED56FF"/>
    <w:rsid w:val="00EE08CD"/>
    <w:rsid w:val="00EE23DF"/>
    <w:rsid w:val="00EE35DA"/>
    <w:rsid w:val="00EE38C9"/>
    <w:rsid w:val="00EE57AF"/>
    <w:rsid w:val="00EE752F"/>
    <w:rsid w:val="00EF087C"/>
    <w:rsid w:val="00EF2578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0A18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EE752F"/>
    <w:pPr>
      <w:suppressAutoHyphens w:val="0"/>
      <w:spacing w:before="280" w:after="280"/>
      <w:jc w:val="center"/>
    </w:pPr>
    <w:rPr>
      <w:b/>
      <w:bCs/>
      <w:color w:val="000000"/>
      <w:sz w:val="28"/>
      <w:szCs w:val="28"/>
      <w:lang w:eastAsia="ar-SA"/>
    </w:rPr>
  </w:style>
  <w:style w:type="table" w:styleId="afc">
    <w:name w:val="Table Grid"/>
    <w:basedOn w:val="a3"/>
    <w:uiPriority w:val="59"/>
    <w:rsid w:val="00EE7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2262-EF84-48B3-8B41-003D7E9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2</cp:revision>
  <cp:lastPrinted>2020-11-13T13:09:00Z</cp:lastPrinted>
  <dcterms:created xsi:type="dcterms:W3CDTF">2021-12-17T06:32:00Z</dcterms:created>
  <dcterms:modified xsi:type="dcterms:W3CDTF">2021-12-17T06:32:00Z</dcterms:modified>
</cp:coreProperties>
</file>