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445B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bookmarkStart w:id="0" w:name="_GoBack"/>
      <w:permStart w:id="574191661" w:edGrp="everyone"/>
      <w:r w:rsidR="00FF4AA2" w:rsidRPr="00B22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</w:t>
      </w:r>
      <w:r w:rsidR="000F03A4" w:rsidRPr="000F0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 по изготовлению и обеспечению инвалидов и отдельных категорий граждан из числа ветеранов техническими средствами реабилитации - протезами нижних  конечностей</w:t>
      </w:r>
      <w:bookmarkEnd w:id="0"/>
      <w:permEnd w:id="574191661"/>
    </w:p>
    <w:p w:rsidR="00D12B25" w:rsidRPr="00D12B25" w:rsidRDefault="00E93C1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FF4AA2" w:rsidRDefault="00FF4AA2" w:rsidP="00B77FB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permStart w:id="1320688943" w:edGrp="everyone"/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Таблица № 1</w:t>
      </w:r>
    </w:p>
    <w:tbl>
      <w:tblPr>
        <w:tblW w:w="997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760"/>
        <w:gridCol w:w="1326"/>
        <w:gridCol w:w="4010"/>
        <w:gridCol w:w="1005"/>
        <w:gridCol w:w="1187"/>
      </w:tblGrid>
      <w:tr w:rsidR="000F03A4" w:rsidRPr="000F03A4" w:rsidTr="00E93C15">
        <w:trPr>
          <w:trHeight w:val="1206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 </w:t>
            </w: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/п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Наименование Изделия (Приказ Минтруда России от 13.02.2018 г. № 86н)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Позиция по КТРУ,</w:t>
            </w:r>
          </w:p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Характеристики Изделия (неизменяемые)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Кол-во  товара (объем работы, услуги)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/шт.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Гарантийный срок, мес.</w:t>
            </w:r>
          </w:p>
        </w:tc>
      </w:tr>
      <w:tr w:rsidR="000F03A4" w:rsidRPr="000F03A4" w:rsidTr="00E93C15">
        <w:trPr>
          <w:trHeight w:val="267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6</w:t>
            </w:r>
          </w:p>
        </w:tc>
      </w:tr>
      <w:tr w:rsidR="000F03A4" w:rsidRPr="000F03A4" w:rsidTr="00E93C15">
        <w:trPr>
          <w:trHeight w:val="1651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лечебно-тренировочный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Без формообразующей части косметической облицовки. Приёмная гильза индивидуальная, изготовленная по индивидуальному слепку с культи инвалида, замена по медицинским показаниям до 3-х гильз.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Регулировочно-соединительные устройства протеза должны соответствовать весу инвалида. Стопа шарнирная, монолитная.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лечебно-тренировочный.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- вспененный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- полиуретан.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лечебно-тренировочный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Без формообразующей части косметической облицовки. Приёмная гильза индивидуальная, изготовленная по индивидуальному слепку с культи инвалида или унифицированная (по медицинским показаниям), замена по медицинским показаниям до 3-х гильз. Регулировочно-соединительные устройства протеза должны соответствовать весу инвалида. Стопа шарнирная, монолитная. Коленный шарнир с ручным замком моноцентрический.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лечебно-тренировочный.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полиамидных или акриловых смол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2442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лечебно-тренировочный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Без формообразующей части косметической облицовки. Приёмная гильза индивидуальная, изготовленная по индивидуальному слепку с культи инвалида или унифицированная (по медицинским показаниям), замена по медицинским показаниям до 3-х гильз. Регулировочно-соединительные устройства протеза должны соответствовать весу инвалида. Стопа шарнирная, монолитная. Коленный шарнир коленный шарнир полицентрический с «геометрическим замком» или коленный шарнир одноосный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беззамковый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с механизмом торможения (по медицинским показаниям).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лечебно-тренировочный.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полиамидных или акриловых смол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-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для купания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Косметическая облицовка – голенная система. Приемная гильза индивидуальная, изготовленная по индивидуальному слепку с культи инвалида. При наличии медицинских показаний допускается применение вкладной гильзы или без нее. Метод крепления протеза: за счет формы приемной гильзы с «герметизирующим» коленным бандажом. Стопа должна быть защищена от воздействия пресной и морской воды и от проскальзывания.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для купания.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вкладной гильзы - вспененные материалы.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для купания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Косметическая облицовка – отсутствует. Приемная гильза индивидуальная, изготовленная по индивидуальному слепку с культи инвалида. Метод крепления протеза 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вакуумно-мышечное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. Регулировочно-соединительные устройства протеза должны соответствовать весу инвалида, должны быть защищены от коррозии и позволять принимать водные процедуры. Коленный модуль должен быть полицентрическим с геометрическим замком и иметь дополнительное замковое устройство, которое позволяет принимать водные процедуры в режиме 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замкового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 Стопа должна быть защищена от воздействия пресной и морской воды и от проскальзывания.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для купания.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 или без неё (по медицинским показаниям). Покрытие облицовки - чулки косметические. Приемная 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гильза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унифицированная или индивидуальная,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Стопа шарнирная полиуретановая, монолитная. Протез комплектуется не менее 4 чехлами шерстяными,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–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приемной гильзы – кожа или литьевой слоистый пластик на основе акриловых смол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– вспененный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5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 - модульной. Косметическое покрытие облицовки - чулки косметические. Приемная 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гильза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унифицированная или индивидуальная (одна пробная гильза),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Регулировочно-соединительные устройства должны соответствовать весу инвалида. Стопа полиуретановая, монолитная,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, монолитная или стопа шарнирная монолитная (по медицинским показаниям).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–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постоянной гильзы - литьевой слоистый пластик на основе акриловых смол </w:t>
            </w: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или кожа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- вспененный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 инвалида.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или с коленным бандажом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- вспененный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 инвалида. Должна применяться вкладная гильза. Крепление за счет формы приемной гильзы и коленного бандажа или полимерного чехла с использованием замка (по медицинским показаниям). Регулировочно-соединительные устройства должны соответствовать весу инвалида. Стопа со средней или высокой степенью энергосбережения (по медицинским показаниям).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смол, листовой или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- вспененный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пенополиэтилен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или чехол полимерный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 инвалида. В качестве вкладного элемента должен применяться чехол полимерный. Крепление за счет чехла с использованием замка или вакуумной мембраны. Регулировочно-соединительные устройства должны соответствовать весу инвалида. Стопа с высокой степенью энергосбережения.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autoSpaceDE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(одна пробная гильза). В качестве вкладного элемента должен применяться чехол полимерный. </w:t>
            </w:r>
            <w:r w:rsidRPr="000F03A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Крепление с использованием подвесной вакуумной системы для активной откачки воздуха и с герметизирующим коленным бандажом. Насос должен способствовать созданию повышенного вакуума в приемной гильзе, что улучшает крепление протеза на культе. После герметизации системы функциональное кольцо должно отводить воздух из приёмной гильзы через клапан одностороннего действия и отсасывать его через насос. Регулировочно-соединительные устройства протеза должны соответствовать весу инвалида. Стопа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углепластиковая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с высокой степенью энергосбережения или с возможностью изменения угла щиколотки «высоты каблука» (по медицинским показаниям).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autoSpaceDE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F03A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autoSpaceDE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F03A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autoSpaceDE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F03A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autoSpaceDE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F03A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autoSpaceDE w:val="0"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F03A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Материал вкладного элемента - чехол полимерный.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Материал облицовки стопы – полиуретан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</w:t>
            </w:r>
          </w:p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(одна пробная гильза). В качестве вкладного элемента должен применяться чехол полимерный. Крепление протеза за счет чехла с использованием замка (вакуумной мембраны) или крепление с использованием подвесной вакуумной системы для активной откачки воздуха и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герметезирующим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коленным бандажом (по медицинским показаниям). Регулировочно-соединительные устройства должны соответствовать весу инвалида. Стопа с высокой степенью энергосбережения, с гидроцилиндром и плавной регулировкой жесткости давления.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унифицированная (без пробных гильз) или индивидуальная (одна пробная гильза),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поясное, с использованием бандажа, или вакуумно-мышечное (по медицинским показаниям).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показаниям), с двухступенчатой регулируемой пациентом высотой каблука. Коленный шарнир одноосный с ручным замком. Протез </w:t>
            </w: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– дерево, литьевой слоистый пластик на основе полиамидных или акриловых смол,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вкладной гильзы - вспененные материалы.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унифицированная (без пробных гильз) или индивидуальная (одна пробная гильза),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поясное, с использованием бандажа или вакуумно-мышечное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энергосбережения, с голеностопным шарниром, подвижным в сагиттальной плоскости, со сменным пяточным амортизатором или без амортизатора (по медицинским показаниям), с двухступенчатой регулируемой пациентом высотой каблука. Коленный шарнир полицентрический с «геометрическим замком» с зависимым механическим регулированием фаз сгибания-разгибания или коленный шарнир одноосный с механизмом торможения с зависимым механическим регулированием фаз сгибания-разгибания (по медицинским показаниям).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унифицированной постоянной гильзы - слоистый пластик на основе полиамидных или акриловых смол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Материал вкладной гильзы - вспененные </w:t>
            </w: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материалы.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(две пробные гильзы), изготовленная по индивидуальному слепку с культи инвалида. При наличии медицинских показаний допускается применение вкладной гильзы или без нее. Крепление протеза поясное, с использованием бандажа или вакуумно-мышечное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энергосбережения. Коленный шарнир с независимым пневматическим регулированием фаз сгибания-разгибания.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вспененные материалы.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(две пробные гильзы). При наличии медицинских показаний допускается применение чехла полимерного или без него.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Коленный шарнир с независимым пневматическим регулированием фаз сгибания-разгибания.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Материал вкладного элемента - чехол полимерный.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(две пробные гильзы). В качестве вкладного элемента должен применяться чехол полимерный.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с высокой степенью энергосбережения. Коленный шарнир пневматический или гидравлический (по медицинским показаниям) с независимым регулированием фаз сгибания-разгибания. При наличии медицинских показаний применяется поворотное устройство. Протез комплектуется не менее 4 чехлами шерстяными, не менее 4 чехлами 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(две пробные гильзы). В качестве вкладного элемента должен применяться чехол полимерный. Крепление с использованием замка или вакуумной мембраны (по медицинским показаниям). При наличии медицинских показаний должно применяться поворотное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Регулировочно-соединительные устройства должны соответствовать весу инвалида. Стопа </w:t>
            </w:r>
            <w:proofErr w:type="spell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с высокой степенью энергосбережения. Коленный шарнир гидравлический с независимым бесступенчатым механизмом регулирования фазы сгибания-разгибания. Протез комплектуется не менее 4 чехлами шерстяными, не менее 4 чехлами </w:t>
            </w: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хлопчатобумажными.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-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вкладного элемента - чехол полимерный.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- полиуретан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99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Протез при вычленении бедра модульный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КТРУ: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не применяется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ОКПД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: 32.50.22.121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С формообразующей частью косметической облицовки. Косметическое покрытие формообразующей облицовки - чулки косметические. Приёмная гильза индивидуальная, изготовленная по индивидуальному слепку с культи инвалида (одна пробная гильза). При наличии медицинских показаний допускается применение вкладной гильзы или без нее. Крепление протеза поясное с использованием кожаных полуфабрикатов.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амортизатором. Коленный шарнир полицентрический с независимым пневматическим регулированием фаз сгибания-разгибания или коленный шарнир полицентрический с зависимым механическим регулированием фаз сгибания-разгибания (по медицинским показаниям). Тазобедренный шарнир одноосный с </w:t>
            </w:r>
            <w:proofErr w:type="gramStart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зависимым</w:t>
            </w:r>
            <w:proofErr w:type="gramEnd"/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механическим регулирование.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Тип протеза по назначению: постоянный.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- мягкий полиуретан.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покрытия облицовки – перлон или силон (по медицинским показаниям).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постоянной гильзы - литьевой слоистый пластик на основе акриловых смол.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вкладной гильзы - вспененные материалы.</w:t>
            </w:r>
          </w:p>
          <w:p w:rsidR="000F03A4" w:rsidRPr="000F03A4" w:rsidRDefault="000F03A4" w:rsidP="000F03A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Материал облицовки стопы – полиуретан.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</w:tr>
      <w:tr w:rsidR="000F03A4" w:rsidRPr="000F03A4" w:rsidTr="00E93C15">
        <w:trPr>
          <w:trHeight w:val="297"/>
        </w:trPr>
        <w:tc>
          <w:tcPr>
            <w:tcW w:w="7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0F03A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A4" w:rsidRPr="000F03A4" w:rsidRDefault="000F03A4" w:rsidP="000F03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FF4AA2" w:rsidRDefault="00FF4AA2" w:rsidP="00B77FB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Протезы нижних конечностей должны соответствовать требованиям ГОСТ Р 51632-2021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токсикологический испытаний», ГОСТ Р ИСО 22523-2007 «Протезы конечностей и </w:t>
      </w:r>
      <w:proofErr w:type="spellStart"/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ортезы</w:t>
      </w:r>
      <w:proofErr w:type="spellEnd"/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наружные. Требования и методы испытаний» ГОСТ Р 53869-2021 «Протезы нижних конечностей. Технические требования» или иным ГОСТ и </w:t>
      </w:r>
      <w:proofErr w:type="gramStart"/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ТУ</w:t>
      </w:r>
      <w:proofErr w:type="gramEnd"/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к которым присоединился участник закупки. 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нижних конечностей (далее - ТСР) должны входить: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 изготовление ТСР по индивидуальным обмерам;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 примерка и подгонка ТСР (при необходимости);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 обучение Получателя пользованию ТСР, уходу за ним и его хранения;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 выдача ТСР Получателю;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lastRenderedPageBreak/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Выполняемые работы по изготовлению и обеспечению Получателей протезами должны 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Лечебно-тренировочный протез нижней конечности должен назначаться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Постоянный протез нижней конечности должен назначаться после завершения использования лечебно-тренировочного протеза.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Рабочий протез нижней конечности должен иметь внешний вид упрощенной конструкции протеза без стопы.</w:t>
      </w:r>
    </w:p>
    <w:p w:rsidR="000F03A4" w:rsidRPr="000F03A4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4A76F5" w:rsidRPr="004A76F5" w:rsidRDefault="000F03A4" w:rsidP="000F03A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0F03A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  <w:r w:rsidR="004A76F5" w:rsidRPr="004A76F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</w:t>
      </w:r>
    </w:p>
    <w:permEnd w:id="1320688943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0F03A4" w:rsidRPr="000F03A4" w:rsidRDefault="0047798A" w:rsidP="000F0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203310550" w:edGrp="everyone"/>
      <w:r w:rsidR="000F03A4" w:rsidRPr="000F03A4">
        <w:rPr>
          <w:rFonts w:ascii="Times New Roman" w:hAnsi="Times New Roman" w:cs="Times New Roman"/>
          <w:bCs/>
        </w:rPr>
        <w:t>Протезы нижних конечностей должны быть новыми (не бывшими в употреблении, в ремонте, в том числе не быть восстановленными, у которых не была осуществлена замена составных частей, не были восстановлены потребительские свойства).</w:t>
      </w:r>
    </w:p>
    <w:p w:rsidR="000F03A4" w:rsidRPr="000F03A4" w:rsidRDefault="000F03A4" w:rsidP="000F0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F03A4">
        <w:rPr>
          <w:rFonts w:ascii="Times New Roman" w:hAnsi="Times New Roman" w:cs="Times New Roman"/>
          <w:bCs/>
        </w:rPr>
        <w:t>Протезы нижних конечностей должны соответствовать требованиям санитарно-эпидемиологической безопасности. Материалы, применяемые для изготовления протезов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47798A" w:rsidRPr="0047798A" w:rsidRDefault="000F03A4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3A4">
        <w:rPr>
          <w:rFonts w:ascii="Times New Roman" w:hAnsi="Times New Roman" w:cs="Times New Roman"/>
          <w:bCs/>
        </w:rPr>
        <w:t xml:space="preserve"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</w:t>
      </w:r>
      <w:r>
        <w:rPr>
          <w:rFonts w:ascii="Times New Roman" w:hAnsi="Times New Roman" w:cs="Times New Roman"/>
          <w:bCs/>
        </w:rPr>
        <w:t>в обычных условиях эксплуатации</w:t>
      </w:r>
      <w:r w:rsidR="00FF6106" w:rsidRPr="0042348D">
        <w:rPr>
          <w:rFonts w:ascii="Times New Roman" w:hAnsi="Times New Roman" w:cs="Times New Roman"/>
          <w:bCs/>
        </w:rPr>
        <w:t>.</w:t>
      </w:r>
      <w:permEnd w:id="1203310550"/>
    </w:p>
    <w:p w:rsidR="000F03A4" w:rsidRPr="000F03A4" w:rsidRDefault="0047798A" w:rsidP="000F0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659769419" w:edGrp="everyone"/>
      <w:r w:rsidR="000F03A4" w:rsidRPr="000F03A4">
        <w:rPr>
          <w:rFonts w:ascii="Times New Roman" w:hAnsi="Times New Roman" w:cs="Times New Roman"/>
          <w:bCs/>
        </w:rPr>
        <w:t>Протезы нижних конечностей должны иметь гарантийный срок равный указанному в таблице №1 с момента передачи его Получателю. Исполнитель должен выдать Получателю гарантийный талон, дающий право на бесплатный ремонт во время гарантийного срока.</w:t>
      </w:r>
    </w:p>
    <w:p w:rsidR="000F03A4" w:rsidRPr="000F03A4" w:rsidRDefault="000F03A4" w:rsidP="000F0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F03A4">
        <w:rPr>
          <w:rFonts w:ascii="Times New Roman" w:hAnsi="Times New Roman" w:cs="Times New Roman"/>
          <w:bCs/>
        </w:rPr>
        <w:t>Гарантийный срок не распространяется на случаи нарушения Получателем условий и требований к эксплуатации Изделия.</w:t>
      </w:r>
    </w:p>
    <w:p w:rsidR="000F03A4" w:rsidRPr="000F03A4" w:rsidRDefault="000F03A4" w:rsidP="000F0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F03A4">
        <w:rPr>
          <w:rFonts w:ascii="Times New Roman" w:hAnsi="Times New Roman" w:cs="Times New Roman"/>
          <w:bCs/>
        </w:rPr>
        <w:t>В течение гарантийного срока в случае обнаружения Получателем недостатка в протезах нижних конечностей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47798A" w:rsidRPr="0047798A" w:rsidRDefault="000F03A4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3A4">
        <w:rPr>
          <w:rFonts w:ascii="Times New Roman" w:hAnsi="Times New Roman" w:cs="Times New Roman"/>
          <w:bCs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</w:t>
      </w:r>
      <w:r>
        <w:rPr>
          <w:rFonts w:ascii="Times New Roman" w:hAnsi="Times New Roman" w:cs="Times New Roman"/>
          <w:bCs/>
        </w:rPr>
        <w:t>ней со дня обращения Получателя</w:t>
      </w:r>
      <w:r w:rsidR="00586D27" w:rsidRPr="00586D27">
        <w:rPr>
          <w:rFonts w:ascii="Times New Roman" w:hAnsi="Times New Roman" w:cs="Times New Roman"/>
          <w:bCs/>
          <w:sz w:val="24"/>
          <w:szCs w:val="24"/>
        </w:rPr>
        <w:t>.</w:t>
      </w:r>
      <w:permEnd w:id="659769419"/>
    </w:p>
    <w:p w:rsidR="002A7647" w:rsidRPr="00831FBE" w:rsidRDefault="00E93C15" w:rsidP="00E93C15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</w:t>
      </w:r>
      <w:r w:rsidR="002A7647">
        <w:rPr>
          <w:rFonts w:ascii="Times New Roman" w:hAnsi="Times New Roman" w:cs="Times New Roman"/>
          <w:b/>
          <w:bCs/>
          <w:sz w:val="24"/>
          <w:szCs w:val="24"/>
        </w:rPr>
        <w:t xml:space="preserve">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794717992" w:edGrp="everyone"/>
      <w:r w:rsidR="000F03A4" w:rsidRPr="000F03A4">
        <w:rPr>
          <w:rFonts w:ascii="Times New Roman" w:hAnsi="Times New Roman" w:cs="Times New Roman"/>
          <w:bCs/>
          <w:iCs/>
          <w:sz w:val="24"/>
          <w:szCs w:val="24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</w:t>
      </w:r>
      <w:proofErr w:type="gramStart"/>
      <w:r w:rsidR="003C6FDF">
        <w:rPr>
          <w:rFonts w:ascii="Times New Roman" w:hAnsi="Times New Roman" w:cs="Times New Roman"/>
          <w:bCs/>
          <w:iCs/>
          <w:sz w:val="24"/>
          <w:szCs w:val="24"/>
        </w:rPr>
        <w:t>.</w:t>
      </w:r>
      <w:permEnd w:id="794717992"/>
      <w:proofErr w:type="gramEnd"/>
    </w:p>
    <w:p w:rsidR="00982E58" w:rsidRDefault="00E93C15" w:rsidP="00E93C15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037398695" w:edGrp="everyone"/>
    </w:p>
    <w:p w:rsidR="0030672D" w:rsidRPr="0042348D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42348D">
        <w:rPr>
          <w:rFonts w:ascii="Times New Roman" w:hAnsi="Times New Roman" w:cs="Times New Roman"/>
          <w:bCs/>
        </w:rPr>
        <w:t>Количество –</w:t>
      </w:r>
      <w:r w:rsidR="00334B87" w:rsidRPr="0042348D">
        <w:rPr>
          <w:rFonts w:ascii="Times New Roman" w:hAnsi="Times New Roman" w:cs="Times New Roman"/>
          <w:bCs/>
        </w:rPr>
        <w:t xml:space="preserve">  </w:t>
      </w:r>
      <w:r w:rsidR="000F03A4">
        <w:rPr>
          <w:rFonts w:ascii="Times New Roman" w:hAnsi="Times New Roman" w:cs="Times New Roman"/>
          <w:bCs/>
        </w:rPr>
        <w:t>40</w:t>
      </w:r>
      <w:r w:rsidR="00334B87" w:rsidRPr="0042348D">
        <w:rPr>
          <w:rFonts w:ascii="Times New Roman" w:hAnsi="Times New Roman" w:cs="Times New Roman"/>
          <w:bCs/>
        </w:rPr>
        <w:t xml:space="preserve">  </w:t>
      </w:r>
      <w:r w:rsidRPr="0042348D">
        <w:rPr>
          <w:rFonts w:ascii="Times New Roman" w:hAnsi="Times New Roman" w:cs="Times New Roman"/>
          <w:bCs/>
        </w:rPr>
        <w:t>шт.</w:t>
      </w:r>
    </w:p>
    <w:p w:rsidR="000F03A4" w:rsidRPr="000F03A4" w:rsidRDefault="000F03A4" w:rsidP="000F03A4">
      <w:pPr>
        <w:widowControl w:val="0"/>
        <w:snapToGrid w:val="0"/>
        <w:spacing w:after="12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F03A4">
        <w:rPr>
          <w:rFonts w:ascii="Times New Roman" w:eastAsia="Calibri" w:hAnsi="Times New Roman" w:cs="Times New Roman"/>
          <w:sz w:val="21"/>
          <w:szCs w:val="21"/>
        </w:rPr>
        <w:t xml:space="preserve">Осуществлять выполнение работ в части снятия мерок, примерки, подгонки, других </w:t>
      </w:r>
      <w:proofErr w:type="spellStart"/>
      <w:proofErr w:type="gramStart"/>
      <w:r w:rsidRPr="000F03A4">
        <w:rPr>
          <w:rFonts w:ascii="Times New Roman" w:eastAsia="Calibri" w:hAnsi="Times New Roman" w:cs="Times New Roman"/>
          <w:sz w:val="21"/>
          <w:szCs w:val="21"/>
        </w:rPr>
        <w:t>сопут-ствующих</w:t>
      </w:r>
      <w:proofErr w:type="spellEnd"/>
      <w:proofErr w:type="gramEnd"/>
      <w:r w:rsidRPr="000F03A4">
        <w:rPr>
          <w:rFonts w:ascii="Times New Roman" w:eastAsia="Calibri" w:hAnsi="Times New Roman" w:cs="Times New Roman"/>
          <w:sz w:val="21"/>
          <w:szCs w:val="21"/>
        </w:rPr>
        <w:t xml:space="preserve"> работ, требующих присутствия Получателя, доставку (передачу) Изделия по месту житель-</w:t>
      </w:r>
      <w:proofErr w:type="spellStart"/>
      <w:r w:rsidRPr="000F03A4">
        <w:rPr>
          <w:rFonts w:ascii="Times New Roman" w:eastAsia="Calibri" w:hAnsi="Times New Roman" w:cs="Times New Roman"/>
          <w:sz w:val="21"/>
          <w:szCs w:val="21"/>
        </w:rPr>
        <w:t>ства</w:t>
      </w:r>
      <w:proofErr w:type="spellEnd"/>
      <w:r w:rsidRPr="000F03A4">
        <w:rPr>
          <w:rFonts w:ascii="Times New Roman" w:eastAsia="Calibri" w:hAnsi="Times New Roman" w:cs="Times New Roman"/>
          <w:sz w:val="21"/>
          <w:szCs w:val="21"/>
        </w:rPr>
        <w:t xml:space="preserve"> Получателя (г. Брянск и Брянская область), или по согласованию с Получателем в пункте (</w:t>
      </w:r>
      <w:proofErr w:type="spellStart"/>
      <w:r w:rsidRPr="000F03A4">
        <w:rPr>
          <w:rFonts w:ascii="Times New Roman" w:eastAsia="Calibri" w:hAnsi="Times New Roman" w:cs="Times New Roman"/>
          <w:sz w:val="21"/>
          <w:szCs w:val="21"/>
        </w:rPr>
        <w:t>пунк-тах</w:t>
      </w:r>
      <w:proofErr w:type="spellEnd"/>
      <w:r w:rsidRPr="000F03A4">
        <w:rPr>
          <w:rFonts w:ascii="Times New Roman" w:eastAsia="Calibri" w:hAnsi="Times New Roman" w:cs="Times New Roman"/>
          <w:sz w:val="21"/>
          <w:szCs w:val="21"/>
        </w:rPr>
        <w:t xml:space="preserve">) приема в пределах г. Брянска и Брянской области. </w:t>
      </w:r>
    </w:p>
    <w:p w:rsidR="000F03A4" w:rsidRPr="000F03A4" w:rsidRDefault="000F03A4" w:rsidP="000F03A4">
      <w:pPr>
        <w:widowControl w:val="0"/>
        <w:snapToGrid w:val="0"/>
        <w:spacing w:after="12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F03A4">
        <w:rPr>
          <w:rFonts w:ascii="Times New Roman" w:eastAsia="Calibri" w:hAnsi="Times New Roman" w:cs="Times New Roman"/>
          <w:sz w:val="21"/>
          <w:szCs w:val="21"/>
        </w:rPr>
        <w:t xml:space="preserve">Осуществлять прием Получателя по всем вопросам, связанным с изготовлением и выдачей Изделий, по месту нахождения пункта (пунктов) приема не менее 5 (пяти) дней в неделю. </w:t>
      </w:r>
    </w:p>
    <w:p w:rsidR="002A7647" w:rsidRPr="004003A0" w:rsidRDefault="000F03A4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3A4">
        <w:rPr>
          <w:rFonts w:ascii="Times New Roman" w:eastAsia="Calibri" w:hAnsi="Times New Roman" w:cs="Times New Roman"/>
          <w:sz w:val="21"/>
          <w:szCs w:val="21"/>
        </w:rPr>
        <w:t>Место выполнения работ: Российская Федерация. Место выполнения работ по изготовлению Изделия определяе</w:t>
      </w:r>
      <w:r>
        <w:rPr>
          <w:rFonts w:ascii="Times New Roman" w:eastAsia="Calibri" w:hAnsi="Times New Roman" w:cs="Times New Roman"/>
          <w:sz w:val="21"/>
          <w:szCs w:val="21"/>
        </w:rPr>
        <w:t>тся исполнителем самостоятельно</w:t>
      </w:r>
      <w:r w:rsidR="008B2C3F" w:rsidRPr="008B2C3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  <w:permEnd w:id="1037398695"/>
    </w:p>
    <w:p w:rsidR="002A7647" w:rsidRDefault="00E93C1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688803572" w:edGrp="everyone"/>
      <w:proofErr w:type="gramStart"/>
      <w:r w:rsidR="000F03A4" w:rsidRPr="000F03A4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="000F03A4" w:rsidRPr="000F03A4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20.10.2022. В случае приема Направлений после указанного срока, Исполнитель принимает на себя обязательства по выполн</w:t>
      </w:r>
      <w:r w:rsidR="000F03A4">
        <w:rPr>
          <w:rFonts w:ascii="Times New Roman" w:eastAsia="Times New Roman" w:hAnsi="Times New Roman" w:cs="Times New Roman"/>
          <w:bCs/>
          <w:lang w:eastAsia="ru-RU"/>
        </w:rPr>
        <w:t>ению работ в срок до 21.11.2022</w:t>
      </w:r>
      <w:r w:rsidR="008B2C3F"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ermEnd w:id="688803572"/>
    </w:p>
    <w:p w:rsidR="00880AE6" w:rsidRPr="0030672D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E4" w:rsidRDefault="00141CE4" w:rsidP="001A27AB">
      <w:pPr>
        <w:spacing w:after="0" w:line="240" w:lineRule="auto"/>
      </w:pPr>
      <w:r>
        <w:separator/>
      </w:r>
    </w:p>
  </w:endnote>
  <w:endnote w:type="continuationSeparator" w:id="0">
    <w:p w:rsidR="00141CE4" w:rsidRDefault="00141CE4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C1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E4" w:rsidRDefault="00141CE4" w:rsidP="001A27AB">
      <w:pPr>
        <w:spacing w:after="0" w:line="240" w:lineRule="auto"/>
      </w:pPr>
      <w:r>
        <w:separator/>
      </w:r>
    </w:p>
  </w:footnote>
  <w:footnote w:type="continuationSeparator" w:id="0">
    <w:p w:rsidR="00141CE4" w:rsidRDefault="00141CE4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60B"/>
    <w:multiLevelType w:val="hybridMultilevel"/>
    <w:tmpl w:val="350441DA"/>
    <w:lvl w:ilvl="0" w:tplc="5314BDF6">
      <w:start w:val="1"/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>
    <w:nsid w:val="18FC42B7"/>
    <w:multiLevelType w:val="singleLevel"/>
    <w:tmpl w:val="74E60DF2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2">
    <w:nsid w:val="3E3405DC"/>
    <w:multiLevelType w:val="hybridMultilevel"/>
    <w:tmpl w:val="E62CAED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AF65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17F20"/>
    <w:rsid w:val="00030827"/>
    <w:rsid w:val="00035237"/>
    <w:rsid w:val="00035AA4"/>
    <w:rsid w:val="00050B7F"/>
    <w:rsid w:val="0006391C"/>
    <w:rsid w:val="0009287A"/>
    <w:rsid w:val="000B3FF0"/>
    <w:rsid w:val="000C3B7B"/>
    <w:rsid w:val="000D385F"/>
    <w:rsid w:val="000F03A4"/>
    <w:rsid w:val="000F4669"/>
    <w:rsid w:val="00102579"/>
    <w:rsid w:val="00102E07"/>
    <w:rsid w:val="00106E15"/>
    <w:rsid w:val="001101C5"/>
    <w:rsid w:val="0011149C"/>
    <w:rsid w:val="0011348A"/>
    <w:rsid w:val="00117A1E"/>
    <w:rsid w:val="00140169"/>
    <w:rsid w:val="00141CE4"/>
    <w:rsid w:val="00150507"/>
    <w:rsid w:val="00153D53"/>
    <w:rsid w:val="00154929"/>
    <w:rsid w:val="00162314"/>
    <w:rsid w:val="00164843"/>
    <w:rsid w:val="00166157"/>
    <w:rsid w:val="00176919"/>
    <w:rsid w:val="00186D12"/>
    <w:rsid w:val="00194CD6"/>
    <w:rsid w:val="001A27AB"/>
    <w:rsid w:val="001C3C8E"/>
    <w:rsid w:val="001C7267"/>
    <w:rsid w:val="001E471E"/>
    <w:rsid w:val="00231FEC"/>
    <w:rsid w:val="00232CC6"/>
    <w:rsid w:val="00234E9E"/>
    <w:rsid w:val="00236D03"/>
    <w:rsid w:val="002A7647"/>
    <w:rsid w:val="002C15FA"/>
    <w:rsid w:val="002D064A"/>
    <w:rsid w:val="002E2A84"/>
    <w:rsid w:val="002F3639"/>
    <w:rsid w:val="002F6BD2"/>
    <w:rsid w:val="003029C9"/>
    <w:rsid w:val="0030672D"/>
    <w:rsid w:val="00317DFF"/>
    <w:rsid w:val="00334B87"/>
    <w:rsid w:val="00336AA0"/>
    <w:rsid w:val="003439E1"/>
    <w:rsid w:val="003621CB"/>
    <w:rsid w:val="00365ACE"/>
    <w:rsid w:val="0039008B"/>
    <w:rsid w:val="003B24EE"/>
    <w:rsid w:val="003C6FDF"/>
    <w:rsid w:val="003D152B"/>
    <w:rsid w:val="004003A0"/>
    <w:rsid w:val="00410A54"/>
    <w:rsid w:val="0042348D"/>
    <w:rsid w:val="00437546"/>
    <w:rsid w:val="00445BC1"/>
    <w:rsid w:val="0047798A"/>
    <w:rsid w:val="00481546"/>
    <w:rsid w:val="00481807"/>
    <w:rsid w:val="00484D19"/>
    <w:rsid w:val="00487CF2"/>
    <w:rsid w:val="004A76F5"/>
    <w:rsid w:val="004B4F44"/>
    <w:rsid w:val="004C23EE"/>
    <w:rsid w:val="004E3BFD"/>
    <w:rsid w:val="004E6FC9"/>
    <w:rsid w:val="004F11D4"/>
    <w:rsid w:val="00515C55"/>
    <w:rsid w:val="005214FC"/>
    <w:rsid w:val="00535A63"/>
    <w:rsid w:val="00536757"/>
    <w:rsid w:val="005407CF"/>
    <w:rsid w:val="005448D4"/>
    <w:rsid w:val="00551705"/>
    <w:rsid w:val="00551E82"/>
    <w:rsid w:val="00562964"/>
    <w:rsid w:val="005662E5"/>
    <w:rsid w:val="00571B54"/>
    <w:rsid w:val="00576022"/>
    <w:rsid w:val="00586D27"/>
    <w:rsid w:val="005A6DF3"/>
    <w:rsid w:val="005B6944"/>
    <w:rsid w:val="005D0E3D"/>
    <w:rsid w:val="006011B9"/>
    <w:rsid w:val="006471D1"/>
    <w:rsid w:val="00661F30"/>
    <w:rsid w:val="006812B9"/>
    <w:rsid w:val="0069300E"/>
    <w:rsid w:val="0069346A"/>
    <w:rsid w:val="0069506C"/>
    <w:rsid w:val="006A5625"/>
    <w:rsid w:val="006B0BB0"/>
    <w:rsid w:val="006B2323"/>
    <w:rsid w:val="006D2C33"/>
    <w:rsid w:val="0070141B"/>
    <w:rsid w:val="007023E7"/>
    <w:rsid w:val="00706E57"/>
    <w:rsid w:val="00714DBD"/>
    <w:rsid w:val="00721290"/>
    <w:rsid w:val="007272B7"/>
    <w:rsid w:val="0073208B"/>
    <w:rsid w:val="00736E88"/>
    <w:rsid w:val="00741307"/>
    <w:rsid w:val="00761773"/>
    <w:rsid w:val="00766081"/>
    <w:rsid w:val="00780425"/>
    <w:rsid w:val="007951EB"/>
    <w:rsid w:val="007B371E"/>
    <w:rsid w:val="007C076C"/>
    <w:rsid w:val="007D58D5"/>
    <w:rsid w:val="007E153E"/>
    <w:rsid w:val="00813C48"/>
    <w:rsid w:val="00831005"/>
    <w:rsid w:val="00831FBE"/>
    <w:rsid w:val="0086154B"/>
    <w:rsid w:val="008748AE"/>
    <w:rsid w:val="00875D97"/>
    <w:rsid w:val="00880AE6"/>
    <w:rsid w:val="0089478C"/>
    <w:rsid w:val="008A4DC7"/>
    <w:rsid w:val="008B2017"/>
    <w:rsid w:val="008B2C3F"/>
    <w:rsid w:val="008B7F7E"/>
    <w:rsid w:val="008E204A"/>
    <w:rsid w:val="008E28C5"/>
    <w:rsid w:val="008F348C"/>
    <w:rsid w:val="009274C2"/>
    <w:rsid w:val="0094185B"/>
    <w:rsid w:val="0095789C"/>
    <w:rsid w:val="00964C78"/>
    <w:rsid w:val="00967B53"/>
    <w:rsid w:val="0097431B"/>
    <w:rsid w:val="00982E58"/>
    <w:rsid w:val="009B2F3F"/>
    <w:rsid w:val="009C5E11"/>
    <w:rsid w:val="009D62A0"/>
    <w:rsid w:val="009E5C86"/>
    <w:rsid w:val="009F40E0"/>
    <w:rsid w:val="00A11317"/>
    <w:rsid w:val="00A232D4"/>
    <w:rsid w:val="00A26CF4"/>
    <w:rsid w:val="00A27738"/>
    <w:rsid w:val="00A32E63"/>
    <w:rsid w:val="00A50B1A"/>
    <w:rsid w:val="00A7139A"/>
    <w:rsid w:val="00A75F37"/>
    <w:rsid w:val="00A77C75"/>
    <w:rsid w:val="00A77FE5"/>
    <w:rsid w:val="00A92297"/>
    <w:rsid w:val="00A97952"/>
    <w:rsid w:val="00AA2414"/>
    <w:rsid w:val="00AA7F64"/>
    <w:rsid w:val="00AC3426"/>
    <w:rsid w:val="00AD23A7"/>
    <w:rsid w:val="00AE2901"/>
    <w:rsid w:val="00AE3151"/>
    <w:rsid w:val="00B07245"/>
    <w:rsid w:val="00B112C6"/>
    <w:rsid w:val="00B221A3"/>
    <w:rsid w:val="00B56496"/>
    <w:rsid w:val="00B627F8"/>
    <w:rsid w:val="00B735C1"/>
    <w:rsid w:val="00B77FB2"/>
    <w:rsid w:val="00B821D8"/>
    <w:rsid w:val="00B859BF"/>
    <w:rsid w:val="00B97CB2"/>
    <w:rsid w:val="00BC0AB1"/>
    <w:rsid w:val="00BC5463"/>
    <w:rsid w:val="00BD6F74"/>
    <w:rsid w:val="00BF31D7"/>
    <w:rsid w:val="00CC1839"/>
    <w:rsid w:val="00CC5430"/>
    <w:rsid w:val="00CE070A"/>
    <w:rsid w:val="00CF0A91"/>
    <w:rsid w:val="00D0310A"/>
    <w:rsid w:val="00D031F9"/>
    <w:rsid w:val="00D12B25"/>
    <w:rsid w:val="00D20D96"/>
    <w:rsid w:val="00D27869"/>
    <w:rsid w:val="00D34DF9"/>
    <w:rsid w:val="00D97BAD"/>
    <w:rsid w:val="00DC52F9"/>
    <w:rsid w:val="00DC5EDE"/>
    <w:rsid w:val="00DE4CDC"/>
    <w:rsid w:val="00DF66F2"/>
    <w:rsid w:val="00E16C75"/>
    <w:rsid w:val="00E30819"/>
    <w:rsid w:val="00E502BF"/>
    <w:rsid w:val="00E53831"/>
    <w:rsid w:val="00E53A0B"/>
    <w:rsid w:val="00E82B84"/>
    <w:rsid w:val="00E93C15"/>
    <w:rsid w:val="00EA461B"/>
    <w:rsid w:val="00EA5AAB"/>
    <w:rsid w:val="00ED4FAE"/>
    <w:rsid w:val="00F119B6"/>
    <w:rsid w:val="00F50486"/>
    <w:rsid w:val="00F66CB5"/>
    <w:rsid w:val="00F72DA5"/>
    <w:rsid w:val="00FA14EA"/>
    <w:rsid w:val="00FA1EE2"/>
    <w:rsid w:val="00FC24A4"/>
    <w:rsid w:val="00FE0748"/>
    <w:rsid w:val="00FF32F1"/>
    <w:rsid w:val="00FF4AA2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03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03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3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0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F03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03A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  <w:style w:type="character" w:customStyle="1" w:styleId="10">
    <w:name w:val="Заголовок 1 Знак"/>
    <w:basedOn w:val="a0"/>
    <w:link w:val="1"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03A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03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03A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03A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03A4"/>
  </w:style>
  <w:style w:type="paragraph" w:styleId="21">
    <w:name w:val="Body Text 2"/>
    <w:basedOn w:val="a"/>
    <w:link w:val="22"/>
    <w:semiHidden/>
    <w:rsid w:val="000F03A4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rsid w:val="000F03A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F0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0F0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rsid w:val="000F03A4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0F03A4"/>
    <w:pPr>
      <w:framePr w:w="4888" w:h="4218" w:hRule="exact" w:hSpace="142" w:wrap="around" w:vAnchor="text" w:hAnchor="page" w:x="1475" w:y="1" w:anchorLock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объекта1"/>
    <w:basedOn w:val="a"/>
    <w:next w:val="a"/>
    <w:rsid w:val="000F03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F03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03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03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3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0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F03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03A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  <w:style w:type="character" w:customStyle="1" w:styleId="10">
    <w:name w:val="Заголовок 1 Знак"/>
    <w:basedOn w:val="a0"/>
    <w:link w:val="1"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03A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03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03A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03A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03A4"/>
  </w:style>
  <w:style w:type="paragraph" w:styleId="21">
    <w:name w:val="Body Text 2"/>
    <w:basedOn w:val="a"/>
    <w:link w:val="22"/>
    <w:semiHidden/>
    <w:rsid w:val="000F03A4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rsid w:val="000F03A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F0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0F0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rsid w:val="000F03A4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0F0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0F03A4"/>
    <w:pPr>
      <w:framePr w:w="4888" w:h="4218" w:hRule="exact" w:hSpace="142" w:wrap="around" w:vAnchor="text" w:hAnchor="page" w:x="1475" w:y="1" w:anchorLock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объекта1"/>
    <w:basedOn w:val="a"/>
    <w:next w:val="a"/>
    <w:rsid w:val="000F03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0F03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03E3-1D90-49C2-BBFE-9E7FA63F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51</cp:revision>
  <cp:lastPrinted>2022-07-27T07:27:00Z</cp:lastPrinted>
  <dcterms:created xsi:type="dcterms:W3CDTF">2021-02-08T13:19:00Z</dcterms:created>
  <dcterms:modified xsi:type="dcterms:W3CDTF">2022-09-02T09:35:00Z</dcterms:modified>
</cp:coreProperties>
</file>