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0B" w:rsidRPr="0006460F" w:rsidRDefault="00E2240B" w:rsidP="0006460F">
      <w:pPr>
        <w:ind w:left="6372"/>
        <w:jc w:val="center"/>
        <w:rPr>
          <w:lang w:eastAsia="ru-RU"/>
        </w:rPr>
      </w:pPr>
    </w:p>
    <w:p w:rsidR="00844970" w:rsidRDefault="00E2240B" w:rsidP="00E2240B">
      <w:pPr>
        <w:suppressAutoHyphens w:val="0"/>
        <w:spacing w:after="200" w:line="276" w:lineRule="auto"/>
        <w:ind w:left="1440"/>
        <w:contextualSpacing/>
        <w:jc w:val="center"/>
        <w:rPr>
          <w:rFonts w:eastAsia="Calibri"/>
          <w:b/>
          <w:color w:val="000000"/>
          <w:spacing w:val="-4"/>
          <w:lang w:eastAsia="en-US"/>
        </w:rPr>
      </w:pPr>
      <w:r w:rsidRPr="001E3D46">
        <w:rPr>
          <w:rFonts w:eastAsia="Calibri"/>
          <w:b/>
          <w:color w:val="000000"/>
          <w:spacing w:val="-4"/>
          <w:lang w:eastAsia="en-US"/>
        </w:rPr>
        <w:t>Описание объекта закупки (Техническое задание)</w:t>
      </w:r>
    </w:p>
    <w:p w:rsidR="00B31EE2" w:rsidRPr="00844970" w:rsidRDefault="00844970" w:rsidP="00E2240B">
      <w:pPr>
        <w:suppressAutoHyphens w:val="0"/>
        <w:spacing w:after="200" w:line="276" w:lineRule="auto"/>
        <w:ind w:left="1440"/>
        <w:contextualSpacing/>
        <w:jc w:val="center"/>
        <w:rPr>
          <w:rFonts w:eastAsia="Calibri"/>
          <w:b/>
          <w:color w:val="000000"/>
          <w:spacing w:val="-4"/>
          <w:lang w:eastAsia="en-US"/>
        </w:rPr>
      </w:pPr>
      <w:r w:rsidRPr="00844970">
        <w:rPr>
          <w:rFonts w:eastAsia="Calibri"/>
          <w:color w:val="000000"/>
          <w:spacing w:val="-4"/>
          <w:sz w:val="26"/>
          <w:szCs w:val="26"/>
          <w:lang w:eastAsia="en-US"/>
        </w:rPr>
        <w:t>поставка электронных стационарных видеоувеличителей для обеспечения инвалидов в 2022 году</w:t>
      </w:r>
    </w:p>
    <w:p w:rsidR="00844970" w:rsidRPr="00E2240B" w:rsidRDefault="00844970" w:rsidP="00E2240B">
      <w:pPr>
        <w:suppressAutoHyphens w:val="0"/>
        <w:spacing w:after="200" w:line="276" w:lineRule="auto"/>
        <w:ind w:left="1440"/>
        <w:contextualSpacing/>
        <w:jc w:val="center"/>
        <w:rPr>
          <w:rFonts w:eastAsia="Calibri"/>
          <w:color w:val="000000"/>
          <w:spacing w:val="-4"/>
          <w:sz w:val="26"/>
          <w:szCs w:val="26"/>
          <w:lang w:eastAsia="en-US"/>
        </w:rPr>
      </w:pPr>
    </w:p>
    <w:p w:rsidR="00C364CC" w:rsidRPr="00C364CC" w:rsidRDefault="00C364CC" w:rsidP="00C364CC">
      <w:pPr>
        <w:keepNext/>
        <w:widowControl w:val="0"/>
        <w:numPr>
          <w:ilvl w:val="0"/>
          <w:numId w:val="1"/>
        </w:numPr>
        <w:shd w:val="clear" w:color="auto" w:fill="FFFFFF"/>
        <w:tabs>
          <w:tab w:val="left" w:pos="567"/>
        </w:tabs>
        <w:suppressAutoHyphens w:val="0"/>
        <w:autoSpaceDE w:val="0"/>
        <w:autoSpaceDN w:val="0"/>
        <w:adjustRightInd w:val="0"/>
        <w:ind w:left="0" w:firstLine="709"/>
        <w:contextualSpacing/>
        <w:jc w:val="both"/>
        <w:rPr>
          <w:lang w:eastAsia="ru-RU"/>
        </w:rPr>
      </w:pPr>
      <w:r w:rsidRPr="00C364CC">
        <w:rPr>
          <w:b/>
          <w:lang w:eastAsia="ru-RU"/>
        </w:rPr>
        <w:t>Наименование объекта закупки:</w:t>
      </w:r>
      <w:r w:rsidRPr="00C364CC">
        <w:rPr>
          <w:bCs/>
          <w:lang w:eastAsia="ru-RU"/>
        </w:rPr>
        <w:t xml:space="preserve"> поставка стационарных электронных видеоувеличителей для обеспечения инвалидов в 2022 году.</w:t>
      </w:r>
    </w:p>
    <w:p w:rsidR="00C364CC" w:rsidRPr="00C364CC" w:rsidRDefault="00C364CC" w:rsidP="00C364CC">
      <w:pPr>
        <w:keepNext/>
        <w:widowControl w:val="0"/>
        <w:numPr>
          <w:ilvl w:val="0"/>
          <w:numId w:val="1"/>
        </w:numPr>
        <w:shd w:val="clear" w:color="auto" w:fill="FFFFFF"/>
        <w:tabs>
          <w:tab w:val="left" w:pos="567"/>
        </w:tabs>
        <w:suppressAutoHyphens w:val="0"/>
        <w:autoSpaceDE w:val="0"/>
        <w:autoSpaceDN w:val="0"/>
        <w:adjustRightInd w:val="0"/>
        <w:ind w:left="0" w:firstLine="709"/>
        <w:contextualSpacing/>
        <w:jc w:val="both"/>
        <w:rPr>
          <w:lang w:eastAsia="ru-RU"/>
        </w:rPr>
      </w:pPr>
      <w:r w:rsidRPr="00C364CC">
        <w:rPr>
          <w:b/>
          <w:lang w:eastAsia="ru-RU"/>
        </w:rPr>
        <w:t xml:space="preserve">Место поставки товара: </w:t>
      </w:r>
      <w:r w:rsidRPr="00C364CC">
        <w:rPr>
          <w:lang w:eastAsia="ru-RU"/>
        </w:rPr>
        <w:t>города и районы юга Тюменской области.</w:t>
      </w:r>
    </w:p>
    <w:p w:rsidR="00C364CC" w:rsidRPr="00C364CC" w:rsidRDefault="00C364CC" w:rsidP="00C364CC">
      <w:pPr>
        <w:widowControl w:val="0"/>
        <w:suppressAutoHyphens w:val="0"/>
        <w:autoSpaceDE w:val="0"/>
        <w:autoSpaceDN w:val="0"/>
        <w:adjustRightInd w:val="0"/>
        <w:ind w:firstLine="709"/>
        <w:contextualSpacing/>
        <w:jc w:val="both"/>
        <w:rPr>
          <w:lang w:eastAsia="ru-RU"/>
        </w:rPr>
      </w:pPr>
      <w:r w:rsidRPr="00C364CC">
        <w:rPr>
          <w:lang w:eastAsia="ru-RU"/>
        </w:rPr>
        <w:t xml:space="preserve">Способ получения Товара определяется по выбору Получателя: </w:t>
      </w:r>
    </w:p>
    <w:p w:rsidR="00C364CC" w:rsidRPr="00C364CC" w:rsidRDefault="00C364CC" w:rsidP="00C364CC">
      <w:pPr>
        <w:widowControl w:val="0"/>
        <w:suppressAutoHyphens w:val="0"/>
        <w:autoSpaceDE w:val="0"/>
        <w:autoSpaceDN w:val="0"/>
        <w:adjustRightInd w:val="0"/>
        <w:ind w:firstLine="709"/>
        <w:contextualSpacing/>
        <w:jc w:val="both"/>
        <w:rPr>
          <w:lang w:eastAsia="ru-RU"/>
        </w:rPr>
      </w:pPr>
      <w:r w:rsidRPr="00C364CC">
        <w:rPr>
          <w:lang w:eastAsia="ru-RU"/>
        </w:rPr>
        <w:t>- адресная доставка по месту жительства Получателя;</w:t>
      </w:r>
    </w:p>
    <w:p w:rsidR="00C364CC" w:rsidRPr="00C364CC" w:rsidRDefault="00C364CC" w:rsidP="00C364CC">
      <w:pPr>
        <w:widowControl w:val="0"/>
        <w:suppressAutoHyphens w:val="0"/>
        <w:autoSpaceDE w:val="0"/>
        <w:autoSpaceDN w:val="0"/>
        <w:adjustRightInd w:val="0"/>
        <w:ind w:firstLine="709"/>
        <w:contextualSpacing/>
        <w:jc w:val="both"/>
        <w:rPr>
          <w:lang w:eastAsia="ru-RU"/>
        </w:rPr>
      </w:pPr>
      <w:r w:rsidRPr="00C364CC">
        <w:rPr>
          <w:lang w:eastAsia="ru-RU"/>
        </w:rPr>
        <w:t>- по месту нахождения пунктов выдачи Товара.</w:t>
      </w:r>
    </w:p>
    <w:p w:rsidR="00C364CC" w:rsidRPr="00C364CC" w:rsidRDefault="00C364CC" w:rsidP="00C364CC">
      <w:pPr>
        <w:numPr>
          <w:ilvl w:val="0"/>
          <w:numId w:val="1"/>
        </w:numPr>
        <w:ind w:left="0" w:firstLine="709"/>
        <w:contextualSpacing/>
        <w:jc w:val="both"/>
        <w:rPr>
          <w:spacing w:val="1"/>
          <w:lang w:eastAsia="ru-RU"/>
        </w:rPr>
      </w:pPr>
      <w:r w:rsidRPr="00C364CC">
        <w:rPr>
          <w:b/>
          <w:lang w:eastAsia="ru-RU"/>
        </w:rPr>
        <w:t>Срок поставки товара</w:t>
      </w:r>
      <w:r w:rsidRPr="00C364CC">
        <w:rPr>
          <w:spacing w:val="1"/>
          <w:lang w:eastAsia="ru-RU"/>
        </w:rPr>
        <w:t>:</w:t>
      </w:r>
      <w:r w:rsidRPr="00C364CC">
        <w:rPr>
          <w:lang w:eastAsia="ru-RU"/>
        </w:rPr>
        <w:t xml:space="preserve"> </w:t>
      </w:r>
      <w:r w:rsidRPr="00C364CC">
        <w:rPr>
          <w:spacing w:val="1"/>
          <w:lang w:eastAsia="ru-RU"/>
        </w:rPr>
        <w:t>Срок поставки Товара: с даты получения от Заказчика реестра получателей Товара до «15» ноября 2022 года.</w:t>
      </w:r>
    </w:p>
    <w:p w:rsidR="00C364CC" w:rsidRPr="00C364CC" w:rsidRDefault="00C364CC" w:rsidP="00C364CC">
      <w:pPr>
        <w:ind w:firstLine="709"/>
        <w:contextualSpacing/>
        <w:jc w:val="both"/>
        <w:rPr>
          <w:spacing w:val="1"/>
          <w:lang w:eastAsia="ru-RU"/>
        </w:rPr>
      </w:pPr>
      <w:r w:rsidRPr="00C364CC">
        <w:rPr>
          <w:spacing w:val="1"/>
          <w:lang w:eastAsia="ru-RU"/>
        </w:rPr>
        <w:t>Поставка Товара Получателям осуществляется Поставщиком после получения от Заказчика реестра получателей Товара.</w:t>
      </w:r>
    </w:p>
    <w:p w:rsidR="00C364CC" w:rsidRPr="00C364CC" w:rsidRDefault="00C364CC" w:rsidP="00C364CC">
      <w:pPr>
        <w:ind w:firstLine="709"/>
        <w:contextualSpacing/>
        <w:jc w:val="both"/>
        <w:rPr>
          <w:spacing w:val="1"/>
          <w:lang w:eastAsia="ru-RU"/>
        </w:rPr>
      </w:pPr>
      <w:r w:rsidRPr="00C364CC">
        <w:rPr>
          <w:spacing w:val="1"/>
          <w:lang w:eastAsia="ru-RU"/>
        </w:rPr>
        <w:t xml:space="preserve">Поставка Товара Получателям не должна превышать 30 (тридцати) календарных дней со дня получения Поставщиком реестра получателей Товара. </w:t>
      </w:r>
    </w:p>
    <w:p w:rsidR="00C364CC" w:rsidRPr="00C364CC" w:rsidRDefault="00C364CC" w:rsidP="00C364CC">
      <w:pPr>
        <w:numPr>
          <w:ilvl w:val="0"/>
          <w:numId w:val="1"/>
        </w:numPr>
        <w:ind w:left="0" w:firstLine="709"/>
        <w:contextualSpacing/>
        <w:jc w:val="both"/>
        <w:rPr>
          <w:spacing w:val="1"/>
          <w:lang w:eastAsia="ru-RU"/>
        </w:rPr>
      </w:pPr>
      <w:r w:rsidRPr="00C364CC">
        <w:rPr>
          <w:spacing w:val="1"/>
          <w:lang w:eastAsia="ru-RU"/>
        </w:rPr>
        <w:t xml:space="preserve"> </w:t>
      </w:r>
      <w:r w:rsidRPr="00C364CC">
        <w:rPr>
          <w:b/>
          <w:lang w:eastAsia="ru-RU"/>
        </w:rPr>
        <w:t xml:space="preserve">Количество поставляемых товаров: </w:t>
      </w:r>
      <w:r w:rsidRPr="00C364CC">
        <w:rPr>
          <w:lang w:eastAsia="ru-RU"/>
        </w:rPr>
        <w:t>47 шт.</w:t>
      </w:r>
    </w:p>
    <w:p w:rsidR="00C364CC" w:rsidRPr="00C364CC" w:rsidRDefault="00C364CC" w:rsidP="00C364CC">
      <w:pPr>
        <w:keepNext/>
        <w:shd w:val="clear" w:color="auto" w:fill="FFFFFF"/>
        <w:tabs>
          <w:tab w:val="left" w:pos="567"/>
        </w:tabs>
        <w:suppressAutoHyphens w:val="0"/>
        <w:ind w:firstLine="709"/>
        <w:contextualSpacing/>
        <w:jc w:val="both"/>
        <w:rPr>
          <w:spacing w:val="1"/>
          <w:lang w:eastAsia="ru-RU"/>
        </w:rPr>
      </w:pPr>
      <w:r w:rsidRPr="00C364CC">
        <w:rPr>
          <w:b/>
          <w:spacing w:val="1"/>
          <w:lang w:eastAsia="ru-RU"/>
        </w:rPr>
        <w:t>5.</w:t>
      </w:r>
      <w:r w:rsidRPr="00C364CC">
        <w:rPr>
          <w:spacing w:val="1"/>
          <w:lang w:eastAsia="ru-RU"/>
        </w:rPr>
        <w:t xml:space="preserve"> </w:t>
      </w:r>
      <w:r w:rsidRPr="00C364CC">
        <w:rPr>
          <w:rFonts w:eastAsia="Calibri"/>
          <w:b/>
          <w:lang w:eastAsia="en-US"/>
        </w:rPr>
        <w:t xml:space="preserve">Условия поставки товара: </w:t>
      </w:r>
      <w:r w:rsidRPr="00C364CC">
        <w:rPr>
          <w:rFonts w:eastAsia="Calibri"/>
          <w:kern w:val="1"/>
          <w:lang w:eastAsia="ru-RU"/>
        </w:rPr>
        <w:t>Получателям предоставляется право выбора способа получения Товара в соответствии с п.2 Описания объекта закупки (Технического задания).</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Согласовывается с Получателем способ, место и время поставки Товара.</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При выборе Получателем способа получения Товара – по месту жительства Получателя, за 1 календарный день Получатель информируется о дате, времени и месте поставки.</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Пункты выдачи Товара находятся в местности с таким транспортным сообщением, чтобы Получатель Товара смог добраться от населенного пункта, в котором проживает, до пункта выдачи Товара на общественном транспорте (без пересадок) в промежуток времени, составляющий максимум 2 (два) часа. Местоположение пунктов выдачи обеспечивает удобство для Получателей с точки зрения пешеходной доступности от остановок общественного транспорта (максимум 10 минут пешком).</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Пункты выдачи организованы в помещениях, оборудованных для приема граждан, в том числе с ограниченными возможностями (инвалидов).</w:t>
      </w:r>
    </w:p>
    <w:p w:rsidR="00C364CC" w:rsidRPr="00C364CC" w:rsidRDefault="00C364CC" w:rsidP="00C364CC">
      <w:pPr>
        <w:suppressAutoHyphens w:val="0"/>
        <w:autoSpaceDE w:val="0"/>
        <w:autoSpaceDN w:val="0"/>
        <w:adjustRightInd w:val="0"/>
        <w:ind w:firstLine="709"/>
        <w:contextualSpacing/>
        <w:jc w:val="both"/>
        <w:rPr>
          <w:lang w:eastAsia="ru-RU"/>
        </w:rPr>
      </w:pPr>
      <w:r w:rsidRPr="00C364CC">
        <w:rPr>
          <w:rFonts w:eastAsia="Calibri"/>
          <w:kern w:val="1"/>
          <w:lang w:eastAsia="ru-RU"/>
        </w:rPr>
        <w:t>Длительность ожидания 30 (тридцать) минут с момента обращения) выдачи Товара и обслуживания Получателей в пунктах выдачи.</w:t>
      </w:r>
    </w:p>
    <w:p w:rsidR="00C364CC" w:rsidRPr="00C364CC" w:rsidRDefault="00C364CC" w:rsidP="00C364CC">
      <w:pPr>
        <w:keepNext/>
        <w:shd w:val="clear" w:color="auto" w:fill="FFFFFF"/>
        <w:tabs>
          <w:tab w:val="left" w:pos="567"/>
        </w:tabs>
        <w:suppressAutoHyphens w:val="0"/>
        <w:ind w:firstLine="709"/>
        <w:contextualSpacing/>
        <w:jc w:val="both"/>
        <w:rPr>
          <w:lang w:eastAsia="ru-RU"/>
        </w:rPr>
      </w:pPr>
      <w:r w:rsidRPr="00C364CC">
        <w:rPr>
          <w:b/>
          <w:lang w:eastAsia="ru-RU"/>
        </w:rPr>
        <w:t xml:space="preserve">6. Требования к техническим, качественным и функциональным характеристикам товара: </w:t>
      </w:r>
      <w:r w:rsidRPr="00C364CC">
        <w:rPr>
          <w:color w:val="000000"/>
          <w:spacing w:val="-2"/>
          <w:lang w:eastAsia="ru-RU"/>
        </w:rPr>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C364CC" w:rsidRPr="00C364CC" w:rsidRDefault="00C364CC" w:rsidP="00C364CC">
      <w:pPr>
        <w:keepNext/>
        <w:shd w:val="clear" w:color="auto" w:fill="FFFFFF"/>
        <w:tabs>
          <w:tab w:val="left" w:pos="567"/>
        </w:tabs>
        <w:suppressAutoHyphens w:val="0"/>
        <w:ind w:firstLine="709"/>
        <w:contextualSpacing/>
        <w:jc w:val="both"/>
        <w:rPr>
          <w:lang w:eastAsia="ru-RU"/>
        </w:rPr>
      </w:pPr>
      <w:r w:rsidRPr="00C364CC">
        <w:rPr>
          <w:b/>
          <w:lang w:eastAsia="ru-RU"/>
        </w:rPr>
        <w:t>7</w:t>
      </w:r>
      <w:r w:rsidRPr="00C364CC">
        <w:rPr>
          <w:b/>
          <w:color w:val="000000"/>
          <w:spacing w:val="-2"/>
          <w:lang w:eastAsia="ru-RU"/>
        </w:rPr>
        <w:t xml:space="preserve">. Требования к упаковке: </w:t>
      </w:r>
      <w:r w:rsidRPr="00C364CC">
        <w:rPr>
          <w:rFonts w:eastAsia="Calibri"/>
          <w:lang w:eastAsia="ru-RU"/>
        </w:rPr>
        <w:t>упаковка должна обеспечивать защиту товара от повреждений, порчи (изнашивания) или загрязнения во время хранения и транспортирования к месту использования по назначению (ГОСТ 28594-90 «Аппаратура радиоэлектронная бытовая. Упаковка, маркировка, транспортирование и хранение»).</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lang w:eastAsia="ru-RU"/>
        </w:rPr>
        <w:t>Маркировка должна быть разборчивой, легко читаемой и нанесена на устройство в доступном для осмотра месте (ГОСТ 28594-90 «Аппаратура радиоэлектронная бытовая. Упаковка, маркировка, транспортирование и хранение»).</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lang w:eastAsia="ru-RU"/>
        </w:rPr>
        <w:t xml:space="preserve">На товаре должны быть нанесены товарный знак, установленный для поставщика, и маркировка, не нарушающая покрытие и товарный вид. При этом каждый видеоувеличитель должен быть уложен в индивидуальную упаковку, предохраняющую его от повреждений при транспортировке и хранении. </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lang w:eastAsia="ru-RU"/>
        </w:rPr>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b/>
          <w:lang w:eastAsia="ru-RU"/>
        </w:rPr>
        <w:lastRenderedPageBreak/>
        <w:t xml:space="preserve">8. Гарантийный срок: </w:t>
      </w:r>
      <w:r w:rsidRPr="00C364CC">
        <w:rPr>
          <w:rFonts w:eastAsia="Calibri"/>
          <w:lang w:eastAsia="ru-RU"/>
        </w:rPr>
        <w:t>Гарантийный срок Товара должен составлять не менее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C364CC" w:rsidRPr="00C364CC" w:rsidRDefault="00C364CC" w:rsidP="00C364CC">
      <w:pPr>
        <w:tabs>
          <w:tab w:val="left" w:pos="567"/>
        </w:tabs>
        <w:suppressAutoHyphens w:val="0"/>
        <w:ind w:firstLine="709"/>
        <w:contextualSpacing/>
        <w:jc w:val="both"/>
        <w:rPr>
          <w:lang w:eastAsia="ru-RU"/>
        </w:rPr>
      </w:pPr>
      <w:r w:rsidRPr="00C364CC">
        <w:rPr>
          <w:b/>
          <w:lang w:eastAsia="ru-RU"/>
        </w:rPr>
        <w:t>9. Требования к гарантии:</w:t>
      </w:r>
      <w:r w:rsidRPr="00C364CC">
        <w:rPr>
          <w:lang w:eastAsia="ru-RU"/>
        </w:rPr>
        <w:t xml:space="preserve"> </w:t>
      </w:r>
      <w:r w:rsidRPr="00C364CC">
        <w:rPr>
          <w:rFonts w:eastAsia="Arial"/>
          <w:kern w:val="1"/>
          <w:lang w:eastAsia="ru-RU"/>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Поставщик гарантирует, что поставляемый Товар соответствует стандартам на данные виды Товара, а также требованиям технического задания.</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 xml:space="preserve">Срок выполнения гарантийного ремонта Товара производится в сроки, согласованные с Получателем, но не должен превышать 20 (двадцать) рабочих дней со дня обращения Получателя (Заказчика).  </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Срок осуществления замены Товара не должен превышать 10 (десять) рабочих дней со дня обращения Получателя (Заказчика).</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Поставщик располагает сервисной службой, находящейся в г. Тюмень, для обеспечения гарантийного ремонта поставляемого товара, либо требуется обязательное указание адресов организаций, учреждений, в которые следует обращаться Получателям для гарантийного и послегарантийного ремонта, устранения неисправностей в течении срока эксплуатации. Обеспечение сервисного обслуживания (технического обслуживания, гарантийного и послегарантийного ремонта) производится на территории Тюменской области, в течении срока эксплуатации технического средства реабилитации.</w:t>
      </w:r>
    </w:p>
    <w:p w:rsidR="00C364CC" w:rsidRPr="00C364CC" w:rsidRDefault="00C364CC" w:rsidP="00C364CC">
      <w:pPr>
        <w:suppressAutoHyphens w:val="0"/>
        <w:ind w:firstLine="709"/>
        <w:contextualSpacing/>
        <w:jc w:val="both"/>
        <w:rPr>
          <w:rFonts w:eastAsia="Arial"/>
          <w:b/>
          <w:kern w:val="1"/>
          <w:lang w:eastAsia="ru-RU"/>
        </w:rPr>
      </w:pPr>
      <w:r w:rsidRPr="00C364CC">
        <w:rPr>
          <w:rFonts w:eastAsia="Arial"/>
          <w:b/>
          <w:kern w:val="1"/>
          <w:lang w:eastAsia="ru-RU"/>
        </w:rPr>
        <w:t xml:space="preserve">10. Требования к качеству поставляемых товаров: </w:t>
      </w:r>
      <w:r w:rsidRPr="00C364CC">
        <w:rPr>
          <w:rFonts w:eastAsia="Arial"/>
          <w:kern w:val="1"/>
          <w:lang w:eastAsia="ru-RU"/>
        </w:rPr>
        <w:t>специальные устройства для оптической коррекции слабовидения (электронно-оптические) должны отвечать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364CC" w:rsidRP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both"/>
        <w:rPr>
          <w:rFonts w:eastAsia="Arial"/>
          <w:b/>
          <w:kern w:val="1"/>
          <w:lang w:eastAsia="ru-RU"/>
        </w:rPr>
      </w:pPr>
    </w:p>
    <w:p w:rsidR="00C364CC" w:rsidRDefault="00C364CC" w:rsidP="00C364CC">
      <w:pPr>
        <w:suppressAutoHyphens w:val="0"/>
        <w:ind w:firstLine="567"/>
        <w:jc w:val="both"/>
        <w:rPr>
          <w:rFonts w:eastAsia="Arial"/>
          <w:b/>
          <w:kern w:val="1"/>
          <w:lang w:eastAsia="ru-RU"/>
        </w:rPr>
      </w:pPr>
    </w:p>
    <w:p w:rsid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center"/>
        <w:rPr>
          <w:rFonts w:eastAsia="Arial"/>
          <w:b/>
          <w:kern w:val="1"/>
          <w:lang w:eastAsia="ru-RU"/>
        </w:rPr>
      </w:pPr>
      <w:r w:rsidRPr="00C364CC">
        <w:rPr>
          <w:rFonts w:eastAsia="Arial"/>
          <w:b/>
          <w:kern w:val="1"/>
          <w:lang w:eastAsia="ru-RU"/>
        </w:rPr>
        <w:lastRenderedPageBreak/>
        <w:t xml:space="preserve">СПЕЦИФИКАЦИЯ </w:t>
      </w:r>
    </w:p>
    <w:p w:rsidR="00C364CC" w:rsidRPr="00C364CC" w:rsidRDefault="00C364CC" w:rsidP="00C364CC">
      <w:pPr>
        <w:suppressAutoHyphens w:val="0"/>
        <w:ind w:firstLine="567"/>
        <w:jc w:val="both"/>
        <w:rPr>
          <w:rFonts w:eastAsia="Arial"/>
          <w:kern w:val="1"/>
          <w:lang w:eastAsia="ru-RU"/>
        </w:rPr>
      </w:pPr>
    </w:p>
    <w:tbl>
      <w:tblPr>
        <w:tblW w:w="10207" w:type="dxa"/>
        <w:tblInd w:w="-147" w:type="dxa"/>
        <w:tblLayout w:type="fixed"/>
        <w:tblCellMar>
          <w:left w:w="75" w:type="dxa"/>
          <w:right w:w="75" w:type="dxa"/>
        </w:tblCellMar>
        <w:tblLook w:val="0000" w:firstRow="0" w:lastRow="0" w:firstColumn="0" w:lastColumn="0" w:noHBand="0" w:noVBand="0"/>
      </w:tblPr>
      <w:tblGrid>
        <w:gridCol w:w="1702"/>
        <w:gridCol w:w="1701"/>
        <w:gridCol w:w="6175"/>
        <w:gridCol w:w="629"/>
      </w:tblGrid>
      <w:tr w:rsidR="00C364CC" w:rsidRPr="00C364CC" w:rsidTr="0084053F">
        <w:trPr>
          <w:trHeight w:val="1132"/>
        </w:trPr>
        <w:tc>
          <w:tcPr>
            <w:tcW w:w="1702" w:type="dxa"/>
            <w:tcBorders>
              <w:top w:val="single" w:sz="4" w:space="0" w:color="000000"/>
              <w:left w:val="single" w:sz="4" w:space="0" w:color="000000"/>
              <w:bottom w:val="single" w:sz="4" w:space="0" w:color="000000"/>
            </w:tcBorders>
            <w:shd w:val="clear" w:color="auto" w:fill="auto"/>
          </w:tcPr>
          <w:p w:rsidR="0084053F" w:rsidRDefault="00C364CC" w:rsidP="0084053F">
            <w:pPr>
              <w:widowControl w:val="0"/>
              <w:suppressAutoHyphens w:val="0"/>
              <w:snapToGrid w:val="0"/>
              <w:spacing w:line="100" w:lineRule="atLeast"/>
              <w:ind w:hanging="75"/>
              <w:jc w:val="center"/>
              <w:rPr>
                <w:kern w:val="1"/>
                <w:lang w:eastAsia="ru-RU"/>
              </w:rPr>
            </w:pPr>
            <w:r w:rsidRPr="00C364CC">
              <w:rPr>
                <w:kern w:val="1"/>
                <w:lang w:eastAsia="ru-RU"/>
              </w:rPr>
              <w:t xml:space="preserve">Наименование товара, работы, услуги, </w:t>
            </w:r>
          </w:p>
          <w:p w:rsidR="00C364CC" w:rsidRPr="00C364CC" w:rsidRDefault="00C364CC" w:rsidP="0084053F">
            <w:pPr>
              <w:widowControl w:val="0"/>
              <w:suppressAutoHyphens w:val="0"/>
              <w:snapToGrid w:val="0"/>
              <w:spacing w:line="100" w:lineRule="atLeast"/>
              <w:ind w:hanging="75"/>
              <w:jc w:val="center"/>
              <w:rPr>
                <w:kern w:val="1"/>
                <w:lang w:eastAsia="ru-RU"/>
              </w:rPr>
            </w:pPr>
            <w:bookmarkStart w:id="0" w:name="_GoBack"/>
            <w:bookmarkEnd w:id="0"/>
            <w:r w:rsidRPr="00C364CC">
              <w:rPr>
                <w:kern w:val="1"/>
                <w:lang w:eastAsia="ru-RU"/>
              </w:rPr>
              <w:t xml:space="preserve">ОКПД 2/ </w:t>
            </w:r>
            <w:r w:rsidR="0084053F">
              <w:rPr>
                <w:kern w:val="1"/>
                <w:lang w:eastAsia="ru-RU"/>
              </w:rPr>
              <w:t>КОЗ</w:t>
            </w:r>
          </w:p>
        </w:tc>
        <w:tc>
          <w:tcPr>
            <w:tcW w:w="1701" w:type="dxa"/>
            <w:tcBorders>
              <w:top w:val="single" w:sz="4" w:space="0" w:color="000000"/>
              <w:left w:val="single" w:sz="4" w:space="0" w:color="000000"/>
              <w:bottom w:val="single" w:sz="4" w:space="0" w:color="000000"/>
              <w:right w:val="single" w:sz="4" w:space="0" w:color="000000"/>
            </w:tcBorders>
          </w:tcPr>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Наименование изделия, номер вида ТСР в соответствии с Приказом</w:t>
            </w:r>
          </w:p>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Минтруда России от 13.02.2018 N 86н</w:t>
            </w:r>
          </w:p>
        </w:tc>
        <w:tc>
          <w:tcPr>
            <w:tcW w:w="6175" w:type="dxa"/>
            <w:tcBorders>
              <w:top w:val="single" w:sz="4" w:space="0" w:color="000000"/>
              <w:left w:val="single" w:sz="4" w:space="0" w:color="000000"/>
              <w:bottom w:val="single" w:sz="4" w:space="0" w:color="000000"/>
            </w:tcBorders>
            <w:shd w:val="clear" w:color="auto" w:fill="auto"/>
          </w:tcPr>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Описание объекта закупки, включая перечень сведений для определения идентичности или однородности товара</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Кол-во,</w:t>
            </w:r>
          </w:p>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шт.</w:t>
            </w:r>
          </w:p>
        </w:tc>
      </w:tr>
      <w:tr w:rsidR="00C364CC" w:rsidRPr="00C364CC" w:rsidTr="0084053F">
        <w:trPr>
          <w:trHeight w:val="699"/>
        </w:trPr>
        <w:tc>
          <w:tcPr>
            <w:tcW w:w="1702" w:type="dxa"/>
            <w:tcBorders>
              <w:top w:val="single" w:sz="4" w:space="0" w:color="000000"/>
              <w:left w:val="single" w:sz="4" w:space="0" w:color="000000"/>
              <w:bottom w:val="single" w:sz="4" w:space="0" w:color="000000"/>
            </w:tcBorders>
            <w:shd w:val="clear" w:color="auto" w:fill="auto"/>
          </w:tcPr>
          <w:p w:rsidR="00C364CC" w:rsidRPr="00C364CC" w:rsidRDefault="00C364CC" w:rsidP="00C364CC">
            <w:pPr>
              <w:suppressAutoHyphens w:val="0"/>
              <w:rPr>
                <w:kern w:val="1"/>
                <w:lang w:eastAsia="ru-RU"/>
              </w:rPr>
            </w:pPr>
            <w:r>
              <w:rPr>
                <w:kern w:val="1"/>
                <w:lang w:eastAsia="ru-RU"/>
              </w:rPr>
              <w:t xml:space="preserve">ОКПД2 </w:t>
            </w:r>
            <w:r w:rsidRPr="00C364CC">
              <w:rPr>
                <w:kern w:val="1"/>
                <w:lang w:eastAsia="ru-RU"/>
              </w:rPr>
              <w:t xml:space="preserve"> </w:t>
            </w:r>
          </w:p>
          <w:p w:rsidR="00C364CC" w:rsidRPr="00C364CC" w:rsidRDefault="00C364CC" w:rsidP="00C364CC">
            <w:pPr>
              <w:suppressAutoHyphens w:val="0"/>
              <w:rPr>
                <w:kern w:val="1"/>
                <w:lang w:eastAsia="ru-RU"/>
              </w:rPr>
            </w:pPr>
            <w:r w:rsidRPr="00C364CC">
              <w:rPr>
                <w:kern w:val="1"/>
                <w:lang w:eastAsia="ru-RU"/>
              </w:rPr>
              <w:t>26.40.33.190</w:t>
            </w:r>
          </w:p>
          <w:p w:rsidR="00C364CC" w:rsidRPr="00C364CC" w:rsidRDefault="00C364CC" w:rsidP="00C364CC">
            <w:pPr>
              <w:suppressAutoHyphens w:val="0"/>
              <w:rPr>
                <w:kern w:val="1"/>
                <w:lang w:eastAsia="ru-RU"/>
              </w:rPr>
            </w:pPr>
          </w:p>
          <w:p w:rsidR="00C364CC" w:rsidRPr="00C364CC" w:rsidRDefault="00C364CC" w:rsidP="00C364CC">
            <w:pPr>
              <w:suppressAutoHyphens w:val="0"/>
              <w:rPr>
                <w:kern w:val="1"/>
                <w:lang w:eastAsia="ru-RU"/>
              </w:rPr>
            </w:pPr>
            <w:r w:rsidRPr="00C364CC">
              <w:rPr>
                <w:kern w:val="1"/>
                <w:lang w:eastAsia="ru-RU"/>
              </w:rPr>
              <w:t>Аппаратура записи и воспроизведения изображения прочая</w:t>
            </w:r>
          </w:p>
          <w:p w:rsidR="00C364CC" w:rsidRDefault="00C364CC" w:rsidP="00C364CC">
            <w:pPr>
              <w:suppressAutoHyphens w:val="0"/>
              <w:rPr>
                <w:kern w:val="1"/>
                <w:lang w:eastAsia="ru-RU"/>
              </w:rPr>
            </w:pPr>
          </w:p>
          <w:p w:rsidR="00556314" w:rsidRPr="00C364CC" w:rsidRDefault="00556314" w:rsidP="00C364CC">
            <w:pPr>
              <w:suppressAutoHyphens w:val="0"/>
              <w:rPr>
                <w:kern w:val="1"/>
                <w:lang w:eastAsia="ru-RU"/>
              </w:rPr>
            </w:pPr>
          </w:p>
          <w:p w:rsidR="00C364CC" w:rsidRPr="00C364CC" w:rsidRDefault="00C364CC" w:rsidP="00C364CC">
            <w:pPr>
              <w:suppressAutoHyphens w:val="0"/>
              <w:rPr>
                <w:kern w:val="1"/>
                <w:lang w:eastAsia="ru-RU"/>
              </w:rPr>
            </w:pPr>
            <w:r w:rsidRPr="00C364CC">
              <w:rPr>
                <w:kern w:val="1"/>
                <w:lang w:eastAsia="ru-RU"/>
              </w:rPr>
              <w:t>КОЗ</w:t>
            </w:r>
          </w:p>
          <w:p w:rsidR="00C364CC" w:rsidRPr="00C364CC" w:rsidRDefault="00C364CC" w:rsidP="00C364CC">
            <w:pPr>
              <w:suppressAutoHyphens w:val="0"/>
              <w:rPr>
                <w:kern w:val="1"/>
                <w:lang w:eastAsia="ru-RU"/>
              </w:rPr>
            </w:pPr>
            <w:r w:rsidRPr="00C364CC">
              <w:rPr>
                <w:kern w:val="1"/>
                <w:lang w:eastAsia="ru-RU"/>
              </w:rPr>
              <w:t>01.28.13.01.03</w:t>
            </w:r>
          </w:p>
          <w:p w:rsidR="00C364CC" w:rsidRPr="00C364CC" w:rsidRDefault="00C364CC" w:rsidP="00C364CC">
            <w:pPr>
              <w:suppressAutoHyphens w:val="0"/>
              <w:rPr>
                <w:kern w:val="1"/>
                <w:lang w:eastAsia="ru-RU"/>
              </w:rPr>
            </w:pPr>
          </w:p>
          <w:p w:rsidR="00C364CC" w:rsidRPr="00C364CC" w:rsidRDefault="00C364CC" w:rsidP="00C364CC">
            <w:pPr>
              <w:suppressAutoHyphens w:val="0"/>
              <w:rPr>
                <w:kern w:val="1"/>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64CC" w:rsidRPr="00C364CC" w:rsidRDefault="00C364CC" w:rsidP="00C364CC">
            <w:pPr>
              <w:tabs>
                <w:tab w:val="left" w:pos="708"/>
              </w:tabs>
              <w:suppressAutoHyphens w:val="0"/>
              <w:snapToGrid w:val="0"/>
              <w:rPr>
                <w:kern w:val="1"/>
                <w:lang w:eastAsia="ru-RU"/>
              </w:rPr>
            </w:pPr>
            <w:r w:rsidRPr="00C364CC">
              <w:rPr>
                <w:kern w:val="1"/>
                <w:lang w:eastAsia="ru-RU"/>
              </w:rPr>
              <w:t xml:space="preserve">Электронный стационарный </w:t>
            </w:r>
            <w:proofErr w:type="spellStart"/>
            <w:r w:rsidRPr="00C364CC">
              <w:rPr>
                <w:kern w:val="1"/>
                <w:lang w:eastAsia="ru-RU"/>
              </w:rPr>
              <w:t>видеоувеличи</w:t>
            </w:r>
            <w:r w:rsidR="0084053F">
              <w:rPr>
                <w:kern w:val="1"/>
                <w:lang w:eastAsia="ru-RU"/>
              </w:rPr>
              <w:t>-</w:t>
            </w:r>
            <w:r w:rsidRPr="00C364CC">
              <w:rPr>
                <w:kern w:val="1"/>
                <w:lang w:eastAsia="ru-RU"/>
              </w:rPr>
              <w:t>тель</w:t>
            </w:r>
            <w:proofErr w:type="spellEnd"/>
            <w:r w:rsidRPr="00C364CC">
              <w:rPr>
                <w:kern w:val="1"/>
                <w:lang w:eastAsia="ru-RU"/>
              </w:rPr>
              <w:t xml:space="preserve"> (ЭСВУ)</w:t>
            </w:r>
          </w:p>
          <w:p w:rsidR="00C364CC" w:rsidRPr="00C364CC" w:rsidRDefault="00C364CC" w:rsidP="00C364CC">
            <w:pPr>
              <w:tabs>
                <w:tab w:val="left" w:pos="708"/>
              </w:tabs>
              <w:suppressAutoHyphens w:val="0"/>
              <w:snapToGrid w:val="0"/>
              <w:rPr>
                <w:kern w:val="1"/>
                <w:lang w:eastAsia="ru-RU"/>
              </w:rPr>
            </w:pPr>
          </w:p>
          <w:p w:rsidR="00C364CC" w:rsidRPr="00C364CC" w:rsidRDefault="00C364CC" w:rsidP="00C364CC">
            <w:pPr>
              <w:tabs>
                <w:tab w:val="left" w:pos="708"/>
              </w:tabs>
              <w:suppressAutoHyphens w:val="0"/>
              <w:snapToGrid w:val="0"/>
              <w:rPr>
                <w:kern w:val="1"/>
                <w:lang w:eastAsia="ru-RU"/>
              </w:rPr>
            </w:pPr>
          </w:p>
          <w:p w:rsidR="00C364CC" w:rsidRPr="00C364CC" w:rsidRDefault="00C364CC" w:rsidP="00C364CC">
            <w:pPr>
              <w:tabs>
                <w:tab w:val="left" w:pos="708"/>
              </w:tabs>
              <w:suppressAutoHyphens w:val="0"/>
              <w:snapToGrid w:val="0"/>
              <w:rPr>
                <w:kern w:val="1"/>
                <w:lang w:eastAsia="ru-RU"/>
              </w:rPr>
            </w:pPr>
            <w:r w:rsidRPr="00C364CC">
              <w:rPr>
                <w:kern w:val="1"/>
                <w:lang w:eastAsia="ru-RU"/>
              </w:rPr>
              <w:t>13-01-03</w:t>
            </w:r>
          </w:p>
        </w:tc>
        <w:tc>
          <w:tcPr>
            <w:tcW w:w="6175" w:type="dxa"/>
            <w:tcBorders>
              <w:top w:val="single" w:sz="4" w:space="0" w:color="000000"/>
              <w:left w:val="single" w:sz="4" w:space="0" w:color="000000"/>
              <w:bottom w:val="single" w:sz="4" w:space="0" w:color="000000"/>
            </w:tcBorders>
            <w:shd w:val="clear" w:color="auto" w:fill="auto"/>
            <w:vAlign w:val="bottom"/>
          </w:tcPr>
          <w:p w:rsidR="00C364CC" w:rsidRPr="00C364CC" w:rsidRDefault="00C364CC" w:rsidP="00C364CC">
            <w:pPr>
              <w:suppressAutoHyphens w:val="0"/>
              <w:snapToGrid w:val="0"/>
              <w:jc w:val="both"/>
              <w:rPr>
                <w:kern w:val="1"/>
                <w:lang w:eastAsia="ru-RU"/>
              </w:rPr>
            </w:pPr>
            <w:r w:rsidRPr="00C364CC">
              <w:rPr>
                <w:kern w:val="1"/>
                <w:lang w:eastAsia="ru-RU"/>
              </w:rPr>
              <w:t xml:space="preserve">Электронный стационарный видеоувеличитель (далее -ЭСВУ) должен обеспечивать слабовидящим пользователям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  </w:t>
            </w:r>
          </w:p>
          <w:p w:rsidR="00C364CC" w:rsidRPr="00C364CC" w:rsidRDefault="00C364CC" w:rsidP="00C364CC">
            <w:pPr>
              <w:suppressAutoHyphens w:val="0"/>
              <w:snapToGrid w:val="0"/>
              <w:jc w:val="both"/>
              <w:rPr>
                <w:kern w:val="1"/>
                <w:lang w:eastAsia="ru-RU"/>
              </w:rPr>
            </w:pPr>
            <w:r w:rsidRPr="00C364CC">
              <w:rPr>
                <w:kern w:val="1"/>
                <w:lang w:eastAsia="ru-RU"/>
              </w:rPr>
              <w:t>ЭСВУ должен иметь следующие технические и функциональные характеристики:</w:t>
            </w:r>
          </w:p>
          <w:p w:rsidR="00C364CC" w:rsidRPr="00C364CC" w:rsidRDefault="00C364CC" w:rsidP="00C364CC">
            <w:pPr>
              <w:suppressAutoHyphens w:val="0"/>
              <w:snapToGrid w:val="0"/>
              <w:jc w:val="both"/>
              <w:rPr>
                <w:kern w:val="1"/>
                <w:lang w:eastAsia="ru-RU"/>
              </w:rPr>
            </w:pPr>
            <w:r w:rsidRPr="00C364CC">
              <w:rPr>
                <w:kern w:val="1"/>
                <w:lang w:eastAsia="ru-RU"/>
              </w:rPr>
              <w:t>Регулировка кратности увеличения в диапазоне не менее, чем 2-60 крат с автоматической фокусировкой и отображением на экране установленной кратности увеличения.</w:t>
            </w:r>
          </w:p>
          <w:p w:rsidR="00C364CC" w:rsidRPr="00C364CC" w:rsidRDefault="00C364CC" w:rsidP="00C364CC">
            <w:pPr>
              <w:suppressAutoHyphens w:val="0"/>
              <w:snapToGrid w:val="0"/>
              <w:jc w:val="both"/>
              <w:rPr>
                <w:kern w:val="1"/>
                <w:lang w:eastAsia="ru-RU"/>
              </w:rPr>
            </w:pPr>
            <w:r w:rsidRPr="00C364CC">
              <w:rPr>
                <w:kern w:val="1"/>
                <w:lang w:eastAsia="ru-RU"/>
              </w:rPr>
              <w:t>Должна быть Возможность фиксации выбранной кратности увеличения.</w:t>
            </w:r>
          </w:p>
          <w:p w:rsidR="00C364CC" w:rsidRPr="00C364CC" w:rsidRDefault="00C364CC" w:rsidP="00C364CC">
            <w:pPr>
              <w:suppressAutoHyphens w:val="0"/>
              <w:snapToGrid w:val="0"/>
              <w:jc w:val="both"/>
              <w:rPr>
                <w:kern w:val="1"/>
                <w:lang w:eastAsia="ru-RU"/>
              </w:rPr>
            </w:pPr>
            <w:r w:rsidRPr="00C364CC">
              <w:rPr>
                <w:kern w:val="1"/>
                <w:lang w:eastAsia="ru-RU"/>
              </w:rPr>
              <w:t>Должна быть Фиксация фокусировки в плоскости бумаги при письме.</w:t>
            </w:r>
          </w:p>
          <w:p w:rsidR="00C364CC" w:rsidRPr="00C364CC" w:rsidRDefault="00C364CC" w:rsidP="00C364CC">
            <w:pPr>
              <w:suppressAutoHyphens w:val="0"/>
              <w:snapToGrid w:val="0"/>
              <w:jc w:val="both"/>
              <w:rPr>
                <w:kern w:val="1"/>
                <w:lang w:eastAsia="ru-RU"/>
              </w:rPr>
            </w:pPr>
            <w:r w:rsidRPr="00C364CC">
              <w:rPr>
                <w:kern w:val="1"/>
                <w:lang w:eastAsia="ru-RU"/>
              </w:rPr>
              <w:t>Должна быть Наличие подсветки, сохранение последних настроек (в том числе увеличение и яркости света).</w:t>
            </w:r>
          </w:p>
          <w:p w:rsidR="00C364CC" w:rsidRPr="00C364CC" w:rsidRDefault="00C364CC" w:rsidP="00C364CC">
            <w:pPr>
              <w:suppressAutoHyphens w:val="0"/>
              <w:snapToGrid w:val="0"/>
              <w:jc w:val="both"/>
              <w:rPr>
                <w:kern w:val="1"/>
                <w:lang w:eastAsia="ru-RU"/>
              </w:rPr>
            </w:pPr>
            <w:r w:rsidRPr="00C364CC">
              <w:rPr>
                <w:kern w:val="1"/>
                <w:lang w:eastAsia="ru-RU"/>
              </w:rPr>
              <w:t xml:space="preserve">Должна быть возможность выбора между двумя режимами работы ЭСВУ с </w:t>
            </w:r>
            <w:proofErr w:type="spellStart"/>
            <w:r w:rsidRPr="00C364CC">
              <w:rPr>
                <w:kern w:val="1"/>
                <w:lang w:eastAsia="ru-RU"/>
              </w:rPr>
              <w:t>цветозамещением</w:t>
            </w:r>
            <w:proofErr w:type="spellEnd"/>
            <w:r w:rsidRPr="00C364CC">
              <w:rPr>
                <w:kern w:val="1"/>
                <w:lang w:eastAsia="ru-RU"/>
              </w:rPr>
              <w:t xml:space="preserve"> изображения на мониторе: упрощенная, которая включает в себя не менее 5 режимов, и стандартная, включающая в себя не менее 10 режимов отображения. </w:t>
            </w:r>
          </w:p>
          <w:p w:rsidR="00C364CC" w:rsidRPr="00C364CC" w:rsidRDefault="00C364CC" w:rsidP="00C364CC">
            <w:pPr>
              <w:suppressAutoHyphens w:val="0"/>
              <w:snapToGrid w:val="0"/>
              <w:jc w:val="both"/>
              <w:rPr>
                <w:kern w:val="1"/>
                <w:lang w:eastAsia="ru-RU"/>
              </w:rPr>
            </w:pPr>
            <w:r w:rsidRPr="00C364CC">
              <w:rPr>
                <w:kern w:val="1"/>
                <w:lang w:eastAsia="ru-RU"/>
              </w:rPr>
              <w:t>Жидкокристаллический монитор с диагональю не менее 24 дюймов, разрешающей способностью не менее 1440х900.</w:t>
            </w:r>
          </w:p>
          <w:p w:rsidR="00C364CC" w:rsidRPr="00C364CC" w:rsidRDefault="00C364CC" w:rsidP="00C364CC">
            <w:pPr>
              <w:suppressAutoHyphens w:val="0"/>
              <w:snapToGrid w:val="0"/>
              <w:jc w:val="both"/>
              <w:rPr>
                <w:kern w:val="1"/>
                <w:lang w:eastAsia="ru-RU"/>
              </w:rPr>
            </w:pPr>
            <w:r w:rsidRPr="00C364CC">
              <w:rPr>
                <w:kern w:val="1"/>
                <w:lang w:eastAsia="ru-RU"/>
              </w:rPr>
              <w:t>Питание от сети переменного тока 100-240 В.</w:t>
            </w:r>
          </w:p>
          <w:p w:rsidR="00C364CC" w:rsidRPr="00C364CC" w:rsidRDefault="00C364CC" w:rsidP="00C364CC">
            <w:pPr>
              <w:suppressAutoHyphens w:val="0"/>
              <w:snapToGrid w:val="0"/>
              <w:jc w:val="both"/>
              <w:rPr>
                <w:kern w:val="1"/>
                <w:lang w:eastAsia="ru-RU"/>
              </w:rPr>
            </w:pPr>
            <w:r w:rsidRPr="00C364CC">
              <w:rPr>
                <w:kern w:val="1"/>
                <w:lang w:eastAsia="ru-RU"/>
              </w:rPr>
              <w:t>Вес не более 25 кг.</w:t>
            </w:r>
          </w:p>
          <w:p w:rsidR="00C364CC" w:rsidRPr="00C364CC" w:rsidRDefault="00C364CC" w:rsidP="00C364CC">
            <w:pPr>
              <w:suppressAutoHyphens w:val="0"/>
              <w:snapToGrid w:val="0"/>
              <w:jc w:val="both"/>
              <w:rPr>
                <w:kern w:val="1"/>
                <w:lang w:eastAsia="ru-RU"/>
              </w:rPr>
            </w:pPr>
            <w:r w:rsidRPr="00C364CC">
              <w:rPr>
                <w:kern w:val="1"/>
                <w:lang w:eastAsia="ru-RU"/>
              </w:rPr>
              <w:t>Требования к конструкции и эргономике: ЭСВУ должен быть выполнен в виде единого конструктивного блока, содержащего монитор, видеокамеру, панель управления, подвижный столик и осветитель.</w:t>
            </w:r>
          </w:p>
          <w:p w:rsidR="00C364CC" w:rsidRPr="00C364CC" w:rsidRDefault="00C364CC" w:rsidP="00C364CC">
            <w:pPr>
              <w:suppressAutoHyphens w:val="0"/>
              <w:snapToGrid w:val="0"/>
              <w:jc w:val="both"/>
              <w:rPr>
                <w:kern w:val="1"/>
                <w:lang w:eastAsia="ru-RU"/>
              </w:rPr>
            </w:pPr>
            <w:r w:rsidRPr="00C364CC">
              <w:rPr>
                <w:kern w:val="1"/>
                <w:lang w:eastAsia="ru-RU"/>
              </w:rPr>
              <w:t>Столик устройства должен быть оснащен двухрежимным фиксатором, который должен давать пользователю возможность блокировать перемещение как по оси XY, так и по оси Y раздельно.</w:t>
            </w:r>
          </w:p>
          <w:p w:rsidR="00C364CC" w:rsidRPr="00C364CC" w:rsidRDefault="00C364CC" w:rsidP="00C364CC">
            <w:pPr>
              <w:suppressAutoHyphens w:val="0"/>
              <w:snapToGrid w:val="0"/>
              <w:jc w:val="both"/>
              <w:rPr>
                <w:kern w:val="1"/>
                <w:lang w:eastAsia="ru-RU"/>
              </w:rPr>
            </w:pPr>
            <w:r w:rsidRPr="00C364CC">
              <w:rPr>
                <w:kern w:val="1"/>
                <w:lang w:eastAsia="ru-RU"/>
              </w:rPr>
              <w:t>Органы управления должны быть рельефными и обеспечивать удобство пользования человеку с пониженным зрением, должны иметь крупные размеры и контрастные цвета.</w:t>
            </w:r>
          </w:p>
          <w:p w:rsidR="00C364CC" w:rsidRPr="00C364CC" w:rsidRDefault="00C364CC" w:rsidP="00C364CC">
            <w:pPr>
              <w:suppressAutoHyphens w:val="0"/>
              <w:snapToGrid w:val="0"/>
              <w:jc w:val="both"/>
              <w:rPr>
                <w:kern w:val="1"/>
                <w:lang w:eastAsia="ru-RU"/>
              </w:rPr>
            </w:pPr>
            <w:r w:rsidRPr="00C364CC">
              <w:rPr>
                <w:kern w:val="1"/>
                <w:lang w:eastAsia="ru-RU"/>
              </w:rPr>
              <w:t xml:space="preserve"> Все надписи, знаки и символы, в том числе указывающие на назначение органов управления и регулирования отдельных компонентов TCP, маркировка TCP и т.п., а </w:t>
            </w:r>
            <w:r w:rsidRPr="00C364CC">
              <w:rPr>
                <w:kern w:val="1"/>
                <w:lang w:eastAsia="ru-RU"/>
              </w:rPr>
              <w:lastRenderedPageBreak/>
              <w:t>также знаки и символы на шкалах любых отсчетных устройств должны быть выполнены рельефно-точечным шрифтом Брайля или рельефными буквами русского алфавита, арабскими цифрами, элементами символов.</w:t>
            </w:r>
          </w:p>
          <w:p w:rsidR="00C364CC" w:rsidRPr="00C364CC" w:rsidRDefault="00C364CC" w:rsidP="00C364CC">
            <w:pPr>
              <w:suppressAutoHyphens w:val="0"/>
              <w:snapToGrid w:val="0"/>
              <w:jc w:val="both"/>
              <w:rPr>
                <w:kern w:val="1"/>
                <w:lang w:eastAsia="ru-RU"/>
              </w:rPr>
            </w:pPr>
            <w:r w:rsidRPr="00C364CC">
              <w:rPr>
                <w:kern w:val="1"/>
                <w:lang w:eastAsia="ru-RU"/>
              </w:rPr>
              <w:t>Комплект поставки:</w:t>
            </w:r>
          </w:p>
          <w:p w:rsidR="00C364CC" w:rsidRPr="00C364CC" w:rsidRDefault="00C364CC" w:rsidP="00C364CC">
            <w:pPr>
              <w:suppressAutoHyphens w:val="0"/>
              <w:snapToGrid w:val="0"/>
              <w:jc w:val="both"/>
              <w:rPr>
                <w:kern w:val="1"/>
                <w:lang w:eastAsia="ru-RU"/>
              </w:rPr>
            </w:pPr>
            <w:r w:rsidRPr="00C364CC">
              <w:rPr>
                <w:kern w:val="1"/>
                <w:lang w:eastAsia="ru-RU"/>
              </w:rPr>
              <w:t>Электронный стационарный видеоувеличитель – 1 шт.</w:t>
            </w:r>
          </w:p>
          <w:p w:rsidR="00C364CC" w:rsidRPr="00C364CC" w:rsidRDefault="00C364CC" w:rsidP="00C364CC">
            <w:pPr>
              <w:suppressAutoHyphens w:val="0"/>
              <w:snapToGrid w:val="0"/>
              <w:jc w:val="both"/>
              <w:rPr>
                <w:kern w:val="1"/>
                <w:lang w:eastAsia="ru-RU"/>
              </w:rPr>
            </w:pPr>
            <w:r w:rsidRPr="00C364CC">
              <w:rPr>
                <w:kern w:val="1"/>
                <w:lang w:eastAsia="ru-RU"/>
              </w:rPr>
              <w:t>Сетевой кабель – 1 шт.</w:t>
            </w:r>
          </w:p>
          <w:p w:rsidR="00C364CC" w:rsidRPr="00C364CC" w:rsidRDefault="00C364CC" w:rsidP="00C364CC">
            <w:pPr>
              <w:suppressAutoHyphens w:val="0"/>
              <w:snapToGrid w:val="0"/>
              <w:jc w:val="both"/>
              <w:rPr>
                <w:kern w:val="1"/>
                <w:lang w:eastAsia="ru-RU"/>
              </w:rPr>
            </w:pPr>
            <w:r w:rsidRPr="00C364CC">
              <w:rPr>
                <w:kern w:val="1"/>
                <w:lang w:eastAsia="ru-RU"/>
              </w:rPr>
              <w:t>Руководство по эксплуатации и паспорт на русском языке – 1 шт.</w:t>
            </w:r>
          </w:p>
          <w:p w:rsidR="00C364CC" w:rsidRPr="00C364CC" w:rsidRDefault="00C364CC" w:rsidP="00C364CC">
            <w:pPr>
              <w:suppressAutoHyphens w:val="0"/>
              <w:snapToGrid w:val="0"/>
              <w:jc w:val="both"/>
              <w:rPr>
                <w:kern w:val="1"/>
                <w:lang w:eastAsia="ru-RU"/>
              </w:rPr>
            </w:pPr>
            <w:r w:rsidRPr="00C364CC">
              <w:rPr>
                <w:kern w:val="1"/>
                <w:lang w:eastAsia="ru-RU"/>
              </w:rPr>
              <w:t xml:space="preserve">Упаковочная коробка – 1 шт. </w:t>
            </w:r>
          </w:p>
          <w:p w:rsidR="00C364CC" w:rsidRPr="00C364CC" w:rsidRDefault="00C364CC" w:rsidP="00C364CC">
            <w:pPr>
              <w:tabs>
                <w:tab w:val="left" w:pos="708"/>
              </w:tabs>
              <w:suppressAutoHyphens w:val="0"/>
              <w:ind w:right="122"/>
              <w:jc w:val="both"/>
              <w:rPr>
                <w:kern w:val="1"/>
                <w:lang w:eastAsia="ru-RU"/>
              </w:rPr>
            </w:pPr>
            <w:r w:rsidRPr="00C364CC">
              <w:rPr>
                <w:kern w:val="1"/>
                <w:lang w:eastAsia="ru-RU"/>
              </w:rPr>
              <w:t xml:space="preserve">Информация, содержащаяся в эксплуатационной документации, должна быть доступна для восприятия пользователями с нарушением функций зрения.  </w:t>
            </w:r>
          </w:p>
          <w:p w:rsidR="00C364CC" w:rsidRPr="00C364CC" w:rsidRDefault="00C364CC" w:rsidP="00C364CC">
            <w:pPr>
              <w:tabs>
                <w:tab w:val="left" w:pos="708"/>
              </w:tabs>
              <w:suppressAutoHyphens w:val="0"/>
              <w:ind w:right="122"/>
              <w:jc w:val="both"/>
              <w:rPr>
                <w:kern w:val="1"/>
                <w:lang w:eastAsia="ru-RU"/>
              </w:rPr>
            </w:pPr>
            <w:r w:rsidRPr="00C364CC">
              <w:rPr>
                <w:kern w:val="1"/>
                <w:lang w:eastAsia="ru-RU"/>
              </w:rPr>
              <w:t>Гарантийный срок на товар должен составлять не менее 12 месяцев со дня передачи его Получателю.</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364CC" w:rsidRPr="00C364CC" w:rsidRDefault="00C364CC" w:rsidP="00C364CC">
            <w:pPr>
              <w:suppressAutoHyphens w:val="0"/>
              <w:jc w:val="center"/>
              <w:rPr>
                <w:kern w:val="1"/>
                <w:lang w:eastAsia="ru-RU"/>
              </w:rPr>
            </w:pPr>
            <w:r w:rsidRPr="00C364CC">
              <w:rPr>
                <w:kern w:val="1"/>
                <w:lang w:eastAsia="ru-RU"/>
              </w:rPr>
              <w:lastRenderedPageBreak/>
              <w:t>47</w:t>
            </w:r>
          </w:p>
        </w:tc>
      </w:tr>
      <w:tr w:rsidR="00C364CC" w:rsidRPr="00C364CC" w:rsidTr="0084053F">
        <w:trPr>
          <w:trHeight w:val="355"/>
        </w:trPr>
        <w:tc>
          <w:tcPr>
            <w:tcW w:w="9578" w:type="dxa"/>
            <w:gridSpan w:val="3"/>
            <w:tcBorders>
              <w:top w:val="single" w:sz="4" w:space="0" w:color="000000"/>
              <w:left w:val="single" w:sz="4" w:space="0" w:color="000000"/>
              <w:bottom w:val="single" w:sz="4" w:space="0" w:color="000000"/>
            </w:tcBorders>
            <w:shd w:val="clear" w:color="auto" w:fill="auto"/>
          </w:tcPr>
          <w:p w:rsidR="00C364CC" w:rsidRPr="00C364CC" w:rsidRDefault="00C364CC" w:rsidP="00C364CC">
            <w:pPr>
              <w:tabs>
                <w:tab w:val="left" w:pos="708"/>
              </w:tabs>
              <w:suppressAutoHyphens w:val="0"/>
              <w:snapToGrid w:val="0"/>
              <w:jc w:val="both"/>
              <w:rPr>
                <w:kern w:val="1"/>
                <w:lang w:eastAsia="ru-RU"/>
              </w:rPr>
            </w:pPr>
            <w:r w:rsidRPr="00C364CC">
              <w:rPr>
                <w:kern w:val="1"/>
                <w:lang w:eastAsia="ru-RU"/>
              </w:rPr>
              <w:lastRenderedPageBreak/>
              <w:t>ИТОГО:</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364CC" w:rsidRPr="00C364CC" w:rsidRDefault="00C364CC" w:rsidP="00C364CC">
            <w:pPr>
              <w:suppressAutoHyphens w:val="0"/>
              <w:jc w:val="center"/>
              <w:rPr>
                <w:kern w:val="1"/>
                <w:lang w:eastAsia="ru-RU"/>
              </w:rPr>
            </w:pPr>
            <w:r w:rsidRPr="00C364CC">
              <w:rPr>
                <w:kern w:val="1"/>
                <w:lang w:eastAsia="ru-RU"/>
              </w:rPr>
              <w:t>47</w:t>
            </w:r>
          </w:p>
        </w:tc>
      </w:tr>
    </w:tbl>
    <w:p w:rsidR="00173E22" w:rsidRPr="0006460F" w:rsidRDefault="00173E22" w:rsidP="0084053F">
      <w:pPr>
        <w:suppressAutoHyphens w:val="0"/>
        <w:spacing w:after="200" w:line="276" w:lineRule="auto"/>
        <w:ind w:left="1440"/>
        <w:contextualSpacing/>
        <w:jc w:val="center"/>
        <w:rPr>
          <w:rFonts w:eastAsia="Calibri"/>
          <w:lang w:eastAsia="en-US"/>
        </w:rPr>
      </w:pPr>
    </w:p>
    <w:sectPr w:rsidR="00173E22" w:rsidRPr="0006460F" w:rsidSect="00350929">
      <w:footnotePr>
        <w:pos w:val="beneathText"/>
      </w:footnotePr>
      <w:pgSz w:w="11905" w:h="16837"/>
      <w:pgMar w:top="851"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83470"/>
    <w:multiLevelType w:val="hybridMultilevel"/>
    <w:tmpl w:val="0656502A"/>
    <w:lvl w:ilvl="0" w:tplc="D3144378">
      <w:start w:val="1"/>
      <w:numFmt w:val="decimal"/>
      <w:suff w:val="space"/>
      <w:lvlText w:val="%1."/>
      <w:lvlJc w:val="left"/>
      <w:pPr>
        <w:ind w:left="6030" w:hanging="360"/>
      </w:pPr>
      <w:rPr>
        <w:rFonts w:hint="default"/>
        <w:b/>
        <w:bCs/>
        <w:i w:val="0"/>
        <w:iCs w:val="0"/>
        <w:color w:val="auto"/>
      </w:rPr>
    </w:lvl>
    <w:lvl w:ilvl="1" w:tplc="04190019">
      <w:start w:val="1"/>
      <w:numFmt w:val="lowerLetter"/>
      <w:lvlText w:val="%2."/>
      <w:lvlJc w:val="left"/>
      <w:pPr>
        <w:ind w:left="6777" w:hanging="360"/>
      </w:pPr>
    </w:lvl>
    <w:lvl w:ilvl="2" w:tplc="0419001B">
      <w:start w:val="1"/>
      <w:numFmt w:val="lowerRoman"/>
      <w:lvlText w:val="%3."/>
      <w:lvlJc w:val="right"/>
      <w:pPr>
        <w:ind w:left="7497" w:hanging="180"/>
      </w:pPr>
    </w:lvl>
    <w:lvl w:ilvl="3" w:tplc="0419000F">
      <w:start w:val="1"/>
      <w:numFmt w:val="decimal"/>
      <w:lvlText w:val="%4."/>
      <w:lvlJc w:val="left"/>
      <w:pPr>
        <w:ind w:left="8217" w:hanging="360"/>
      </w:pPr>
    </w:lvl>
    <w:lvl w:ilvl="4" w:tplc="04190019">
      <w:start w:val="1"/>
      <w:numFmt w:val="lowerLetter"/>
      <w:lvlText w:val="%5."/>
      <w:lvlJc w:val="left"/>
      <w:pPr>
        <w:ind w:left="8937" w:hanging="360"/>
      </w:pPr>
    </w:lvl>
    <w:lvl w:ilvl="5" w:tplc="0419001B">
      <w:start w:val="1"/>
      <w:numFmt w:val="lowerRoman"/>
      <w:lvlText w:val="%6."/>
      <w:lvlJc w:val="right"/>
      <w:pPr>
        <w:ind w:left="9657" w:hanging="180"/>
      </w:pPr>
    </w:lvl>
    <w:lvl w:ilvl="6" w:tplc="0419000F">
      <w:start w:val="1"/>
      <w:numFmt w:val="decimal"/>
      <w:lvlText w:val="%7."/>
      <w:lvlJc w:val="left"/>
      <w:pPr>
        <w:ind w:left="10377" w:hanging="360"/>
      </w:pPr>
    </w:lvl>
    <w:lvl w:ilvl="7" w:tplc="04190019">
      <w:start w:val="1"/>
      <w:numFmt w:val="lowerLetter"/>
      <w:lvlText w:val="%8."/>
      <w:lvlJc w:val="left"/>
      <w:pPr>
        <w:ind w:left="11097" w:hanging="360"/>
      </w:pPr>
    </w:lvl>
    <w:lvl w:ilvl="8" w:tplc="0419001B">
      <w:start w:val="1"/>
      <w:numFmt w:val="lowerRoman"/>
      <w:lvlText w:val="%9."/>
      <w:lvlJc w:val="right"/>
      <w:pPr>
        <w:ind w:left="11817" w:hanging="180"/>
      </w:pPr>
    </w:lvl>
  </w:abstractNum>
  <w:abstractNum w:abstractNumId="1">
    <w:nsid w:val="7ACF37C9"/>
    <w:multiLevelType w:val="multilevel"/>
    <w:tmpl w:val="B23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5C"/>
    <w:rsid w:val="000272A8"/>
    <w:rsid w:val="00032761"/>
    <w:rsid w:val="0003651D"/>
    <w:rsid w:val="00047173"/>
    <w:rsid w:val="0006460F"/>
    <w:rsid w:val="000E4BD4"/>
    <w:rsid w:val="000F0283"/>
    <w:rsid w:val="000F3B19"/>
    <w:rsid w:val="001079EB"/>
    <w:rsid w:val="00173E22"/>
    <w:rsid w:val="001E2B45"/>
    <w:rsid w:val="00203BE8"/>
    <w:rsid w:val="00205C90"/>
    <w:rsid w:val="00253FAE"/>
    <w:rsid w:val="00256625"/>
    <w:rsid w:val="002D1A31"/>
    <w:rsid w:val="0031146A"/>
    <w:rsid w:val="003147BE"/>
    <w:rsid w:val="00322571"/>
    <w:rsid w:val="00357925"/>
    <w:rsid w:val="0036543F"/>
    <w:rsid w:val="003D6B98"/>
    <w:rsid w:val="003F4420"/>
    <w:rsid w:val="0041058C"/>
    <w:rsid w:val="0041294B"/>
    <w:rsid w:val="00415200"/>
    <w:rsid w:val="00427DF0"/>
    <w:rsid w:val="004A1436"/>
    <w:rsid w:val="004A6CCF"/>
    <w:rsid w:val="004B08A0"/>
    <w:rsid w:val="004D4FE5"/>
    <w:rsid w:val="00534766"/>
    <w:rsid w:val="00556314"/>
    <w:rsid w:val="005A0A97"/>
    <w:rsid w:val="005B32E6"/>
    <w:rsid w:val="005F4B4C"/>
    <w:rsid w:val="00621B78"/>
    <w:rsid w:val="00653DCE"/>
    <w:rsid w:val="006D1155"/>
    <w:rsid w:val="00707AFE"/>
    <w:rsid w:val="007759F5"/>
    <w:rsid w:val="00776E25"/>
    <w:rsid w:val="00777FAA"/>
    <w:rsid w:val="007866A0"/>
    <w:rsid w:val="007B3688"/>
    <w:rsid w:val="007C1F65"/>
    <w:rsid w:val="0081053F"/>
    <w:rsid w:val="0084053F"/>
    <w:rsid w:val="00844970"/>
    <w:rsid w:val="00852068"/>
    <w:rsid w:val="00867192"/>
    <w:rsid w:val="008672D5"/>
    <w:rsid w:val="008A399E"/>
    <w:rsid w:val="008C03CF"/>
    <w:rsid w:val="009134E1"/>
    <w:rsid w:val="00A01CDF"/>
    <w:rsid w:val="00A35C63"/>
    <w:rsid w:val="00A804EF"/>
    <w:rsid w:val="00AA5318"/>
    <w:rsid w:val="00AD667A"/>
    <w:rsid w:val="00AE38AC"/>
    <w:rsid w:val="00AE773F"/>
    <w:rsid w:val="00B2155C"/>
    <w:rsid w:val="00B31EE2"/>
    <w:rsid w:val="00B95627"/>
    <w:rsid w:val="00BC0335"/>
    <w:rsid w:val="00BD7AEA"/>
    <w:rsid w:val="00BF3987"/>
    <w:rsid w:val="00C364CC"/>
    <w:rsid w:val="00C51FCB"/>
    <w:rsid w:val="00C65030"/>
    <w:rsid w:val="00CB65B4"/>
    <w:rsid w:val="00D04640"/>
    <w:rsid w:val="00D100F6"/>
    <w:rsid w:val="00D42219"/>
    <w:rsid w:val="00DE1A0A"/>
    <w:rsid w:val="00DF1EE2"/>
    <w:rsid w:val="00E04452"/>
    <w:rsid w:val="00E2240B"/>
    <w:rsid w:val="00EA475E"/>
    <w:rsid w:val="00EA7581"/>
    <w:rsid w:val="00FB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722E-EBB4-4E1B-A5F5-DF12AE8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72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72A8"/>
    <w:pPr>
      <w:widowControl w:val="0"/>
      <w:shd w:val="clear" w:color="auto" w:fill="FFFFFF"/>
      <w:suppressAutoHyphens w:val="0"/>
      <w:spacing w:line="0" w:lineRule="atLeast"/>
    </w:pPr>
    <w:rPr>
      <w:sz w:val="26"/>
      <w:szCs w:val="26"/>
      <w:lang w:eastAsia="en-US"/>
    </w:rPr>
  </w:style>
  <w:style w:type="paragraph" w:styleId="a3">
    <w:name w:val="List Paragraph"/>
    <w:basedOn w:val="a"/>
    <w:uiPriority w:val="34"/>
    <w:qFormat/>
    <w:rsid w:val="00173E22"/>
    <w:pPr>
      <w:ind w:left="720"/>
      <w:contextualSpacing/>
    </w:pPr>
  </w:style>
  <w:style w:type="table" w:styleId="a4">
    <w:name w:val="Table Grid"/>
    <w:basedOn w:val="a1"/>
    <w:uiPriority w:val="39"/>
    <w:rsid w:val="0086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Ренев Сергей Владимирович</dc:creator>
  <cp:keywords/>
  <dc:description/>
  <cp:lastModifiedBy>Путинцева Татьяна Валерьевна</cp:lastModifiedBy>
  <cp:revision>2</cp:revision>
  <dcterms:created xsi:type="dcterms:W3CDTF">2022-06-23T06:18:00Z</dcterms:created>
  <dcterms:modified xsi:type="dcterms:W3CDTF">2022-06-23T06:18:00Z</dcterms:modified>
</cp:coreProperties>
</file>