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63" w:rsidRPr="004C7726" w:rsidRDefault="009F2163" w:rsidP="004A204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26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4A204A" w:rsidRDefault="004C7726" w:rsidP="004A20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7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4A204A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4A204A" w:rsidRPr="004A204A">
        <w:rPr>
          <w:rFonts w:ascii="Times New Roman" w:hAnsi="Times New Roman" w:cs="Times New Roman"/>
          <w:b/>
          <w:color w:val="000000"/>
          <w:sz w:val="24"/>
          <w:szCs w:val="24"/>
        </w:rPr>
        <w:t>оставк</w:t>
      </w:r>
      <w:r w:rsidR="004A204A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4A204A" w:rsidRPr="004A20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2023 году инвалидам специальных средств при нарушениях функций выделения</w:t>
      </w:r>
    </w:p>
    <w:p w:rsidR="004A204A" w:rsidRPr="004A204A" w:rsidRDefault="004A204A" w:rsidP="004A20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204A" w:rsidRPr="004A204A" w:rsidRDefault="004A204A" w:rsidP="004A20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Специальные средства при нарушениях функций выделения и вспомогательные принадлежности к ним ГОСТ Р 58235-2018 «специальные средства при нарушении функций выделения. Термины и определения. Классификация».</w:t>
      </w:r>
    </w:p>
    <w:p w:rsidR="004A204A" w:rsidRPr="004A204A" w:rsidRDefault="004A204A" w:rsidP="004A20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hi-IN"/>
        </w:rPr>
      </w:pPr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Классификация с</w:t>
      </w:r>
      <w:r w:rsidRPr="004A204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редств для самообслуживания и индивидуальной защиты представлена в Национальном </w:t>
      </w:r>
      <w:proofErr w:type="gramStart"/>
      <w:r w:rsidRPr="004A204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стандарте  </w:t>
      </w:r>
      <w:r w:rsidRPr="004A204A">
        <w:rPr>
          <w:rFonts w:ascii="Times New Roman" w:hAnsi="Times New Roman" w:cs="Times New Roman"/>
          <w:color w:val="000000"/>
          <w:sz w:val="24"/>
          <w:szCs w:val="24"/>
          <w:lang w:eastAsia="ru-RU" w:bidi="hi-IN"/>
        </w:rPr>
        <w:t>ГОСТ</w:t>
      </w:r>
      <w:proofErr w:type="gramEnd"/>
      <w:r w:rsidRPr="004A204A">
        <w:rPr>
          <w:rFonts w:ascii="Times New Roman" w:hAnsi="Times New Roman" w:cs="Times New Roman"/>
          <w:color w:val="000000"/>
          <w:sz w:val="24"/>
          <w:szCs w:val="24"/>
          <w:lang w:eastAsia="ru-RU" w:bidi="hi-IN"/>
        </w:rPr>
        <w:t xml:space="preserve"> Р ИСО 9999-2014 «Вспомогательные средства для людей с ограничениями жизнедеятельности. Классификация и терминология».</w:t>
      </w:r>
    </w:p>
    <w:p w:rsidR="004A204A" w:rsidRPr="004A204A" w:rsidRDefault="004A204A" w:rsidP="004A20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A20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Требования к качеству товара</w:t>
      </w:r>
    </w:p>
    <w:p w:rsidR="004A204A" w:rsidRPr="004A204A" w:rsidRDefault="004A204A" w:rsidP="004A204A">
      <w:pPr>
        <w:keepNext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специальных средствах при нарушениях функций выделения не допускаются механические повреждения (разрыв края, разрезы и т. п.), видимые невооруженным глазом.</w:t>
      </w:r>
    </w:p>
    <w:p w:rsidR="004A204A" w:rsidRPr="004A204A" w:rsidRDefault="004A204A" w:rsidP="004A20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4A204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Требования к техническим характеристикам</w:t>
      </w:r>
    </w:p>
    <w:p w:rsidR="004A204A" w:rsidRPr="004A204A" w:rsidRDefault="004A204A" w:rsidP="004A20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Специальные средства при нарушениях функций выделения ГОСТ Р 58237-2018 «Средства ухода за кишечными </w:t>
      </w:r>
      <w:proofErr w:type="spellStart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стомами</w:t>
      </w:r>
      <w:proofErr w:type="spellEnd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стомы</w:t>
      </w:r>
      <w:proofErr w:type="spellEnd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Характеристикии</w:t>
      </w:r>
      <w:proofErr w:type="spellEnd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основные требования. Методы испытаний.» состоят из адгезивной пластины для крепления изделия к коже и мешка для сбора отделяемого из </w:t>
      </w:r>
      <w:proofErr w:type="spellStart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стомы</w:t>
      </w:r>
      <w:proofErr w:type="spellEnd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Пластина может составлять с мешком единое целое или крепиться к нему при помощи фланцевого соединения с различными конструктивными особенностями. </w:t>
      </w:r>
    </w:p>
    <w:p w:rsidR="004A204A" w:rsidRPr="004A204A" w:rsidRDefault="004A204A" w:rsidP="004A20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Пластины могут иметь различную форму: круглые, овальные, квадратные, </w:t>
      </w:r>
      <w:proofErr w:type="spellStart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конвексные</w:t>
      </w:r>
      <w:proofErr w:type="spellEnd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(для втянутых </w:t>
      </w:r>
      <w:proofErr w:type="spellStart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</w:t>
      </w:r>
      <w:proofErr w:type="spellEnd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 и т.д.</w:t>
      </w:r>
      <w:proofErr w:type="gramStart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 клеевой</w:t>
      </w:r>
      <w:proofErr w:type="gramEnd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слой из полимерных материалов: </w:t>
      </w:r>
      <w:proofErr w:type="spellStart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гидроколлоидов</w:t>
      </w:r>
      <w:proofErr w:type="spellEnd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которые предохраняют кожу, обладают противовоспалительными и </w:t>
      </w:r>
      <w:proofErr w:type="spellStart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эпителизирующими</w:t>
      </w:r>
      <w:proofErr w:type="spellEnd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выраженными адгезивными свойствами </w:t>
      </w:r>
      <w:proofErr w:type="spellStart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монослойной</w:t>
      </w:r>
      <w:proofErr w:type="spellEnd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или спиралевидной структуры, при необходимости фланцевое соединение </w:t>
      </w:r>
      <w:proofErr w:type="spellStart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комплиментарное</w:t>
      </w:r>
      <w:proofErr w:type="spellEnd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соответствующее  фланцу мешка. Отверстие для </w:t>
      </w:r>
      <w:proofErr w:type="spellStart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стомы</w:t>
      </w:r>
      <w:proofErr w:type="spellEnd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пластине </w:t>
      </w:r>
      <w:proofErr w:type="gramStart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может быть</w:t>
      </w:r>
      <w:proofErr w:type="gramEnd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как вырезаемое (в зависимости от размеров имеющейся </w:t>
      </w:r>
      <w:proofErr w:type="spellStart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стомы</w:t>
      </w:r>
      <w:proofErr w:type="spellEnd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), так и предварительно вырезанное. Размер предварительно вырезанного отверстия или максимальный диаметр вырезаемого отверстия являются важной характеристикой пластины. Для предохранения от загрязнения клеевой слой пластины должен иметь защитное покрытие. </w:t>
      </w:r>
    </w:p>
    <w:p w:rsidR="004A204A" w:rsidRPr="004A204A" w:rsidRDefault="004A204A" w:rsidP="004A20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Мешки могут изготавливаться из </w:t>
      </w:r>
      <w:proofErr w:type="spellStart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биостабильного</w:t>
      </w:r>
      <w:proofErr w:type="spellEnd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полиэтилена или медицинского поливинилхлорида, обладающего стойкостью в условиях постоянного воздействия ферментативной системы живого организма. Мешки могут быть прозрачными и непрозрачными с сетчатой или мягкой нетканой подложкой. Форма мешков может быть симметричная, ассиметричная или анатомическая. </w:t>
      </w:r>
    </w:p>
    <w:p w:rsidR="004A204A" w:rsidRPr="004A204A" w:rsidRDefault="004A204A" w:rsidP="004A20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Дренируемые мешки должны иметь выпускное отверстие со встроенными или поставляемыми в комплекте зажимами. Дренируемые мешки для улучшения потребительских качеств могут иметь газовый фильтр. При комплектации фланцевые соединения пластин должны соответствовать фланцевым соединениям мешков.</w:t>
      </w:r>
    </w:p>
    <w:p w:rsidR="004A204A" w:rsidRPr="004A204A" w:rsidRDefault="004A204A" w:rsidP="004A20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4A204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Требования к безопасности товара</w:t>
      </w:r>
    </w:p>
    <w:p w:rsidR="004A204A" w:rsidRPr="004A204A" w:rsidRDefault="004A204A" w:rsidP="004A20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Специальные средства при нарушениях функций выделения должны соответствовать </w:t>
      </w:r>
      <w:proofErr w:type="gramStart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требованиям  Национального</w:t>
      </w:r>
      <w:proofErr w:type="gramEnd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стандарта РФ ГОСТ </w:t>
      </w:r>
      <w:r w:rsidRPr="004A204A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ISO</w:t>
      </w:r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10993-1-2011 «Изделия медицинские. Оценка биологического действия медицинских изделий. Часть 1. Оценка и исследования», идентичный международному стандарту </w:t>
      </w:r>
      <w:r w:rsidRPr="004A204A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ISO</w:t>
      </w:r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10993-1:2003 «Оценка биологического действия медицинских изделий. Часть 1. Оценка и исследования».</w:t>
      </w:r>
    </w:p>
    <w:p w:rsidR="004A204A" w:rsidRPr="004A204A" w:rsidRDefault="004A204A" w:rsidP="004A204A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Сырье и материалы для изготовления специальных средств при нарушениях функций </w:t>
      </w:r>
      <w:proofErr w:type="gramStart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выделения  должны</w:t>
      </w:r>
      <w:proofErr w:type="gramEnd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быть разрешены к применению Министерством здравоохранения и социального развития Российской Федерации. </w:t>
      </w:r>
    </w:p>
    <w:p w:rsidR="004A204A" w:rsidRPr="004A204A" w:rsidRDefault="004A204A" w:rsidP="004A20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4A204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Требования к функциональным характеристикам товара</w:t>
      </w:r>
    </w:p>
    <w:p w:rsidR="004A204A" w:rsidRPr="004A204A" w:rsidRDefault="004A204A" w:rsidP="004A20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Специальные средства при нарушениях функций выделения - это устройства, носимые на себе, предназначенные для сбора кишечного содержимого, мочи и устранения их агрессивного воздействия на кожу.</w:t>
      </w:r>
    </w:p>
    <w:p w:rsidR="004A204A" w:rsidRPr="004A204A" w:rsidRDefault="004A204A" w:rsidP="004A20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4A204A" w:rsidRPr="004A204A" w:rsidRDefault="004A204A" w:rsidP="004A20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A204A" w:rsidRPr="004A204A" w:rsidRDefault="004A204A" w:rsidP="004A20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204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Требования к размерам, упаковке и отгрузке товара</w:t>
      </w:r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4A204A" w:rsidRPr="004A204A" w:rsidRDefault="004A204A" w:rsidP="004A204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Хранение должно осуществляться в соответствии с требованиями, предъявляемыми к данной категории товара.</w:t>
      </w:r>
    </w:p>
    <w:p w:rsidR="004A204A" w:rsidRPr="004A204A" w:rsidRDefault="004A204A" w:rsidP="004A204A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Транспортировка  специальных</w:t>
      </w:r>
      <w:proofErr w:type="gramEnd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средств при нарушениях функций выделения должна осуществляться по ГОСТ 6658-75 (раздел 3)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4A204A" w:rsidRPr="004A204A" w:rsidRDefault="004A204A" w:rsidP="004A204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Упаковка  должна</w:t>
      </w:r>
      <w:proofErr w:type="gramEnd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A204A" w:rsidRPr="004A204A" w:rsidRDefault="004A204A" w:rsidP="004A204A">
      <w:pPr>
        <w:keepLine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4A204A" w:rsidRPr="004A204A" w:rsidRDefault="004A204A" w:rsidP="004A204A">
      <w:pPr>
        <w:keepLines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proofErr w:type="gramStart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Маркировка  упаковки</w:t>
      </w:r>
      <w:proofErr w:type="gramEnd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специальных средств при нарушениях функций выделения должна включать:</w:t>
      </w:r>
    </w:p>
    <w:p w:rsidR="004A204A" w:rsidRPr="004A204A" w:rsidRDefault="004A204A" w:rsidP="004A204A">
      <w:pPr>
        <w:keepLines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 условное обозначение группы изделий, товарную марку (при наличии), </w:t>
      </w:r>
    </w:p>
    <w:p w:rsidR="004A204A" w:rsidRPr="004A204A" w:rsidRDefault="004A204A" w:rsidP="004A204A">
      <w:pPr>
        <w:keepLines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обозначение номера изделия (при наличии);</w:t>
      </w:r>
    </w:p>
    <w:p w:rsidR="004A204A" w:rsidRPr="004A204A" w:rsidRDefault="004A204A" w:rsidP="004A204A">
      <w:pPr>
        <w:keepLines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страну-изготовителя;</w:t>
      </w:r>
    </w:p>
    <w:p w:rsidR="004A204A" w:rsidRPr="004A204A" w:rsidRDefault="004A204A" w:rsidP="004A204A">
      <w:pPr>
        <w:keepLines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наименование предприятия-изготовителя, юридический адрес, товарный знак (при наличии);</w:t>
      </w:r>
    </w:p>
    <w:p w:rsidR="004A204A" w:rsidRPr="004A204A" w:rsidRDefault="004A204A" w:rsidP="004A204A">
      <w:pPr>
        <w:keepLines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отличительные характеристики изделий в соответствии с их техническим исполнением (при   наличии);</w:t>
      </w:r>
    </w:p>
    <w:p w:rsidR="004A204A" w:rsidRPr="004A204A" w:rsidRDefault="004A204A" w:rsidP="004A204A">
      <w:pPr>
        <w:keepLines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номер артикула (при наличии);</w:t>
      </w:r>
    </w:p>
    <w:p w:rsidR="004A204A" w:rsidRPr="004A204A" w:rsidRDefault="004A204A" w:rsidP="004A204A">
      <w:pPr>
        <w:keepLines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количество изделий в упаковке;</w:t>
      </w:r>
    </w:p>
    <w:p w:rsidR="004A204A" w:rsidRPr="004A204A" w:rsidRDefault="004A204A" w:rsidP="004A204A">
      <w:pPr>
        <w:keepLines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дату (месяц, год) изготовления или гарантийный срок годности (при наличии);</w:t>
      </w:r>
    </w:p>
    <w:p w:rsidR="004A204A" w:rsidRPr="004A204A" w:rsidRDefault="004A204A" w:rsidP="004A20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правила использования на русском языке;</w:t>
      </w:r>
    </w:p>
    <w:p w:rsidR="004A204A" w:rsidRPr="004A204A" w:rsidRDefault="004A204A" w:rsidP="004A20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штриховой код изделия (при наличии);</w:t>
      </w:r>
    </w:p>
    <w:p w:rsidR="004A204A" w:rsidRPr="004A204A" w:rsidRDefault="004A204A" w:rsidP="004A20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информацию о сертификации (при наличии).</w:t>
      </w:r>
    </w:p>
    <w:p w:rsidR="004A204A" w:rsidRPr="004A204A" w:rsidRDefault="004A204A" w:rsidP="004A20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Маркировка и упаковка должна осуществляться в соответствии с ГОСТ 50460-92.</w:t>
      </w:r>
    </w:p>
    <w:p w:rsidR="004A204A" w:rsidRPr="004A204A" w:rsidRDefault="004A204A" w:rsidP="004A204A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4A204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Требования к сроку и (или) объему предоставленных гарантий </w:t>
      </w:r>
      <w:proofErr w:type="gramStart"/>
      <w:r w:rsidRPr="004A204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качества  товара</w:t>
      </w:r>
      <w:proofErr w:type="gramEnd"/>
    </w:p>
    <w:p w:rsidR="004A204A" w:rsidRPr="004A204A" w:rsidRDefault="004A204A" w:rsidP="004A204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Специальные средства при нарушениях функций выделения должны соответствовать требованиям государственных стандартов. </w:t>
      </w:r>
    </w:p>
    <w:p w:rsidR="004A204A" w:rsidRPr="004A204A" w:rsidRDefault="004A204A" w:rsidP="004A204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Данные средства являются продукцией одноразовой, в связи с чем срок гарантии качества специальных средств при нарушениях функций выделения (калоприемников и мочеприемников) не </w:t>
      </w:r>
      <w:proofErr w:type="gramStart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устанавливается,  но</w:t>
      </w:r>
      <w:proofErr w:type="gramEnd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должен быть указан срок годности продукции и условия хранения (срок годности изделий на момент выдачи должен быть не менее 1 года).</w:t>
      </w:r>
    </w:p>
    <w:p w:rsidR="004A204A" w:rsidRPr="004A204A" w:rsidRDefault="004A204A" w:rsidP="004A204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 изделия должны быть представлены действующие регистрационные удостоверения </w:t>
      </w:r>
      <w:proofErr w:type="gramStart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  сертификаты</w:t>
      </w:r>
      <w:proofErr w:type="gramEnd"/>
      <w:r w:rsidRPr="004A20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соответствия (при наличии).</w:t>
      </w:r>
    </w:p>
    <w:p w:rsidR="004A204A" w:rsidRPr="004A204A" w:rsidRDefault="004A204A" w:rsidP="004A204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4A204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Обоснование дополнительных характеристик</w:t>
      </w:r>
    </w:p>
    <w:p w:rsidR="004A204A" w:rsidRPr="004A204A" w:rsidRDefault="004A204A" w:rsidP="004A20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204A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Дополнительные </w:t>
      </w:r>
      <w:proofErr w:type="gramStart"/>
      <w:r w:rsidRPr="004A2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характеристики:</w:t>
      </w:r>
      <w:r w:rsidRPr="004A204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A204A">
        <w:rPr>
          <w:rFonts w:ascii="Times New Roman" w:hAnsi="Times New Roman" w:cs="Times New Roman"/>
          <w:color w:val="000000"/>
        </w:rPr>
        <w:t>Мешок</w:t>
      </w:r>
      <w:proofErr w:type="gramEnd"/>
      <w:r w:rsidRPr="004A204A">
        <w:rPr>
          <w:rFonts w:ascii="Times New Roman" w:hAnsi="Times New Roman" w:cs="Times New Roman"/>
          <w:color w:val="000000"/>
        </w:rPr>
        <w:t xml:space="preserve"> п</w:t>
      </w:r>
      <w:r w:rsidRPr="004A204A">
        <w:rPr>
          <w:rFonts w:ascii="Times New Roman" w:hAnsi="Times New Roman" w:cs="Times New Roman"/>
          <w:sz w:val="24"/>
          <w:szCs w:val="24"/>
          <w:lang w:eastAsia="ru-RU"/>
        </w:rPr>
        <w:t xml:space="preserve">розрачный </w:t>
      </w:r>
      <w:proofErr w:type="spellStart"/>
      <w:r w:rsidRPr="004A204A">
        <w:rPr>
          <w:rFonts w:ascii="Times New Roman" w:hAnsi="Times New Roman" w:cs="Times New Roman"/>
          <w:sz w:val="24"/>
          <w:szCs w:val="24"/>
          <w:lang w:eastAsia="ru-RU"/>
        </w:rPr>
        <w:t>уростомный</w:t>
      </w:r>
      <w:proofErr w:type="spellEnd"/>
      <w:r w:rsidRPr="004A204A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позволяет инвалиду контролировать количество отделяемой мочи, не вскрывая мешок.</w:t>
      </w:r>
    </w:p>
    <w:tbl>
      <w:tblPr>
        <w:tblW w:w="9073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843"/>
        <w:gridCol w:w="5244"/>
        <w:gridCol w:w="851"/>
      </w:tblGrid>
      <w:tr w:rsidR="004A204A" w:rsidRPr="004A204A" w:rsidTr="004A204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04A" w:rsidRPr="004A204A" w:rsidRDefault="004A204A" w:rsidP="004A20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A204A" w:rsidRPr="004A204A" w:rsidRDefault="004A204A" w:rsidP="004A20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0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и код товара, работ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ы, услуги в соответствии с КТРУ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A204A" w:rsidRPr="004A204A" w:rsidRDefault="004A204A" w:rsidP="004A20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0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и код ТСР (протезно-ортопедического изделия) в соответствии с классификацией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204A" w:rsidRPr="004A204A" w:rsidRDefault="004A204A" w:rsidP="004A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0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04A" w:rsidRPr="004A204A" w:rsidRDefault="004A204A" w:rsidP="004A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0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 изм., шт.</w:t>
            </w:r>
          </w:p>
        </w:tc>
      </w:tr>
      <w:tr w:rsidR="004A204A" w:rsidRPr="004A204A" w:rsidTr="004A204A">
        <w:trPr>
          <w:trHeight w:val="27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04A" w:rsidRPr="004A204A" w:rsidRDefault="004A204A" w:rsidP="004A2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A204A" w:rsidRPr="004A204A" w:rsidRDefault="004A204A" w:rsidP="004A2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 защитный в тубе, не менее 60 мл. 01.28.21.01.31</w:t>
            </w:r>
          </w:p>
          <w:p w:rsidR="004A204A" w:rsidRPr="004A204A" w:rsidRDefault="004A204A" w:rsidP="004A2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  <w:p w:rsidR="004A204A" w:rsidRPr="004A204A" w:rsidRDefault="004A204A" w:rsidP="004A2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04A" w:rsidRPr="004A204A" w:rsidRDefault="004A204A" w:rsidP="004A2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04A" w:rsidRPr="004A204A" w:rsidRDefault="004A204A" w:rsidP="004A20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Защитный </w:t>
            </w:r>
            <w:proofErr w:type="gramStart"/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  для</w:t>
            </w:r>
            <w:proofErr w:type="gramEnd"/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ухода за кожей вокруг </w:t>
            </w:r>
            <w:proofErr w:type="spellStart"/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профилактическое и заживляющее средство при раздражении и воспалении кожи вокруг </w:t>
            </w:r>
            <w:proofErr w:type="spellStart"/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Должен защищать кожу от воздействия кишечного содержимого, мочи и гноя. Должен успокаивать раздраженную и увлажнять сухую кожу. Защитный крем должен обладать водоотталкивающими свойствами. Смягчает кожу и восстанавливает нормальный уровень </w:t>
            </w:r>
            <w:proofErr w:type="spellStart"/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кожи, предохраняет кожу от повреждения. Тюбик не менее 60 мл.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4A" w:rsidRPr="004A204A" w:rsidRDefault="004A204A" w:rsidP="004A2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4A204A" w:rsidRPr="004A204A" w:rsidTr="004A204A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04A" w:rsidRPr="004A204A" w:rsidRDefault="004A204A" w:rsidP="004A2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  <w:p w:rsidR="004A204A" w:rsidRPr="004A204A" w:rsidRDefault="004A204A" w:rsidP="004A2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A204A" w:rsidRPr="004A204A" w:rsidRDefault="004A204A" w:rsidP="004A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Паста-герметик для защиты и выравнивания кожи вокруг </w:t>
            </w:r>
            <w:proofErr w:type="spellStart"/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тубе, не менее 60 г</w:t>
            </w:r>
          </w:p>
          <w:p w:rsidR="004A204A" w:rsidRPr="004A204A" w:rsidRDefault="004A204A" w:rsidP="004A2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01.28.21.01.29</w:t>
            </w:r>
          </w:p>
          <w:p w:rsidR="004A204A" w:rsidRPr="004A204A" w:rsidRDefault="004A204A" w:rsidP="004A2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04A" w:rsidRPr="004A204A" w:rsidRDefault="004A204A" w:rsidP="004A20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тубе. Моделируемая паста полужидкой консистенции, уплотняющаяся при нанесении на кожу или пластину, для защиты кожи, герметизации пластины калоприемника или </w:t>
            </w:r>
            <w:proofErr w:type="spellStart"/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уроприемника</w:t>
            </w:r>
            <w:proofErr w:type="spellEnd"/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выравнивания поверхностных шрамов и складок на коже вокруг </w:t>
            </w:r>
            <w:proofErr w:type="spellStart"/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4A" w:rsidRPr="004A204A" w:rsidRDefault="004A204A" w:rsidP="004A2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4A204A" w:rsidRPr="004A204A" w:rsidTr="004A204A">
        <w:trPr>
          <w:trHeight w:val="156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04A" w:rsidRPr="004A204A" w:rsidRDefault="004A204A" w:rsidP="004A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  <w:p w:rsidR="004A204A" w:rsidRPr="004A204A" w:rsidRDefault="004A204A" w:rsidP="004A2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A204A" w:rsidRPr="004A204A" w:rsidRDefault="004A204A" w:rsidP="004A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Паста-герметик для защиты и выравнивания кожи вокруг </w:t>
            </w:r>
            <w:proofErr w:type="spellStart"/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полосках, не менее 60 г </w:t>
            </w:r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01.28.21.01.30</w:t>
            </w:r>
          </w:p>
          <w:p w:rsidR="004A204A" w:rsidRPr="004A204A" w:rsidRDefault="004A204A" w:rsidP="004A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04A" w:rsidRPr="004A204A" w:rsidRDefault="004A204A" w:rsidP="004A20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Паста для защиты и выравнивания кожи в полосках моделируемая паста должна быть плотно-эластичной </w:t>
            </w:r>
            <w:proofErr w:type="spellStart"/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констистенции</w:t>
            </w:r>
            <w:proofErr w:type="spellEnd"/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полосках, не содержащая спирт, для защиты кожи, герметизации пластины калоприемника или </w:t>
            </w:r>
            <w:proofErr w:type="spellStart"/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уроприемника</w:t>
            </w:r>
            <w:proofErr w:type="spellEnd"/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выравнивания глубоких шрамов и складок на коже вокруг </w:t>
            </w:r>
            <w:proofErr w:type="spellStart"/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Упаковка не менее 60г.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4A" w:rsidRPr="004A204A" w:rsidRDefault="004A204A" w:rsidP="004A2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4A204A" w:rsidRPr="004A204A" w:rsidTr="004A204A">
        <w:trPr>
          <w:trHeight w:val="27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204A" w:rsidRPr="004A204A" w:rsidRDefault="004A204A" w:rsidP="004A2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  <w:p w:rsidR="004A204A" w:rsidRPr="004A204A" w:rsidRDefault="004A204A" w:rsidP="004A2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204A" w:rsidRPr="004A204A" w:rsidRDefault="004A204A" w:rsidP="004A2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Защитная пленка во флаконе, не менее 50 мл</w:t>
            </w:r>
          </w:p>
          <w:p w:rsidR="004A204A" w:rsidRPr="004A204A" w:rsidRDefault="004A204A" w:rsidP="004A2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01.28.21.01.33</w:t>
            </w:r>
          </w:p>
          <w:p w:rsidR="004A204A" w:rsidRPr="004A204A" w:rsidRDefault="004A204A" w:rsidP="004A2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  <w:p w:rsidR="004A204A" w:rsidRPr="004A204A" w:rsidRDefault="004A204A" w:rsidP="004A2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204A" w:rsidRPr="004A204A" w:rsidRDefault="004A204A" w:rsidP="004A20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Защитная пленка – во флаконе Вещество для защиты кожи вокруг </w:t>
            </w:r>
            <w:proofErr w:type="spellStart"/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адгезивов</w:t>
            </w:r>
            <w:proofErr w:type="spellEnd"/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 нанесении и высыхании должна образовывать на коже полупроводящую эластичную защитную пленку, устойчивую к воздействию воды. Флакон должен быть объемом не менее 50 мл.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204A" w:rsidRPr="004A204A" w:rsidRDefault="004A204A" w:rsidP="004A2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  <w:p w:rsidR="004A204A" w:rsidRPr="004A204A" w:rsidRDefault="004A204A" w:rsidP="004A2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04A" w:rsidRPr="004A204A" w:rsidRDefault="004A204A" w:rsidP="004A2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04A" w:rsidRPr="004A204A" w:rsidTr="004A204A">
        <w:trPr>
          <w:trHeight w:val="27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204A" w:rsidRPr="004A204A" w:rsidRDefault="004A204A" w:rsidP="004A2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  <w:p w:rsidR="004A204A" w:rsidRPr="004A204A" w:rsidRDefault="004A204A" w:rsidP="004A2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204A" w:rsidRPr="004A204A" w:rsidRDefault="004A204A" w:rsidP="004A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Пудра (порошок) абсорбирующая в тубе, не менее 25 г</w:t>
            </w:r>
          </w:p>
          <w:p w:rsidR="004A204A" w:rsidRPr="004A204A" w:rsidRDefault="004A204A" w:rsidP="004A2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01.28.21.01.32</w:t>
            </w:r>
          </w:p>
          <w:p w:rsidR="004A204A" w:rsidRPr="004A204A" w:rsidRDefault="004A204A" w:rsidP="004A2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204A" w:rsidRPr="004A204A" w:rsidRDefault="004A204A" w:rsidP="004A20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Пудра (порошок) абсорбирующий в тубе, не менее 25г — мелкодисперсные абсорбирующие нестерильные вещества для ухода за раздраженной мокнущей кожей вокруг </w:t>
            </w:r>
            <w:proofErr w:type="spellStart"/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204A" w:rsidRPr="004A204A" w:rsidRDefault="004A204A" w:rsidP="004A2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  <w:p w:rsidR="004A204A" w:rsidRPr="004A204A" w:rsidRDefault="004A204A" w:rsidP="004A2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A204A" w:rsidRPr="004A204A" w:rsidRDefault="004A204A" w:rsidP="004A20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:rsidR="004A204A" w:rsidRPr="004A204A" w:rsidRDefault="004A204A" w:rsidP="004A2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4A">
        <w:rPr>
          <w:rFonts w:ascii="Times New Roman" w:hAnsi="Times New Roman" w:cs="Times New Roman"/>
          <w:sz w:val="24"/>
          <w:szCs w:val="24"/>
        </w:rPr>
        <w:t>Срок поставки товара до получателя до 05.08.2023.</w:t>
      </w:r>
    </w:p>
    <w:p w:rsidR="004A204A" w:rsidRPr="004A204A" w:rsidRDefault="004A204A" w:rsidP="004A2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4A">
        <w:rPr>
          <w:rFonts w:ascii="Times New Roman" w:hAnsi="Times New Roman" w:cs="Times New Roman"/>
          <w:sz w:val="24"/>
          <w:szCs w:val="24"/>
        </w:rPr>
        <w:t xml:space="preserve">Срок действия/исполнения контракта с момента подписания и по </w:t>
      </w:r>
    </w:p>
    <w:p w:rsidR="004A204A" w:rsidRDefault="004A204A" w:rsidP="004A2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4A">
        <w:rPr>
          <w:rFonts w:ascii="Times New Roman" w:hAnsi="Times New Roman" w:cs="Times New Roman"/>
          <w:sz w:val="24"/>
          <w:szCs w:val="24"/>
        </w:rPr>
        <w:t>31.08.2023.</w:t>
      </w:r>
    </w:p>
    <w:p w:rsidR="004A204A" w:rsidRDefault="004A204A" w:rsidP="004A2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Закупка с неопределенным объемом.</w:t>
      </w:r>
    </w:p>
    <w:p w:rsidR="004A204A" w:rsidRDefault="004A204A" w:rsidP="004A2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4A">
        <w:rPr>
          <w:rFonts w:ascii="Times New Roman" w:hAnsi="Times New Roman" w:cs="Times New Roman"/>
          <w:sz w:val="24"/>
          <w:szCs w:val="24"/>
        </w:rPr>
        <w:t>Субъект РФ (место поставки): Смоленск, Смоленская область.</w:t>
      </w:r>
    </w:p>
    <w:p w:rsidR="004A204A" w:rsidRDefault="004A204A" w:rsidP="004A2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04A" w:rsidRDefault="004A204A" w:rsidP="004A2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04A" w:rsidRPr="004A204A" w:rsidRDefault="004A204A" w:rsidP="004A20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A204A" w:rsidRPr="004A204A" w:rsidRDefault="004A204A" w:rsidP="004A20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C7726" w:rsidRPr="004A204A" w:rsidRDefault="004C7726" w:rsidP="004A204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4C7726" w:rsidRPr="004A204A" w:rsidSect="009F2163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917" w:rsidRDefault="00650917" w:rsidP="00882E13">
      <w:pPr>
        <w:spacing w:after="0" w:line="240" w:lineRule="auto"/>
      </w:pPr>
      <w:r>
        <w:separator/>
      </w:r>
    </w:p>
  </w:endnote>
  <w:endnote w:type="continuationSeparator" w:id="0">
    <w:p w:rsidR="00650917" w:rsidRDefault="00650917" w:rsidP="0088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917" w:rsidRDefault="00650917" w:rsidP="00882E13">
      <w:pPr>
        <w:spacing w:after="0" w:line="240" w:lineRule="auto"/>
      </w:pPr>
      <w:r>
        <w:separator/>
      </w:r>
    </w:p>
  </w:footnote>
  <w:footnote w:type="continuationSeparator" w:id="0">
    <w:p w:rsidR="00650917" w:rsidRDefault="00650917" w:rsidP="0088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63" w:rsidRPr="009F2163" w:rsidRDefault="009F2163" w:rsidP="009F2163">
    <w:pPr>
      <w:keepNext/>
      <w:keepLines/>
      <w:widowControl w:val="0"/>
      <w:tabs>
        <w:tab w:val="left" w:pos="7065"/>
        <w:tab w:val="right" w:pos="9355"/>
      </w:tabs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kern w:val="3"/>
        <w:sz w:val="20"/>
        <w:szCs w:val="24"/>
        <w:lang w:eastAsia="zh-CN" w:bidi="hi-IN"/>
      </w:rPr>
    </w:pPr>
    <w:r w:rsidRPr="009F2163">
      <w:rPr>
        <w:rFonts w:ascii="Times New Roman" w:eastAsia="Arial Unicode MS" w:hAnsi="Times New Roman" w:cs="Mangal"/>
        <w:kern w:val="3"/>
        <w:sz w:val="20"/>
        <w:szCs w:val="24"/>
        <w:lang w:eastAsia="zh-CN" w:bidi="hi-IN"/>
      </w:rPr>
      <w:t>Приложение № 1</w:t>
    </w:r>
  </w:p>
  <w:p w:rsidR="009F2163" w:rsidRPr="009F2163" w:rsidRDefault="009F2163" w:rsidP="009F2163">
    <w:pPr>
      <w:keepNext/>
      <w:keepLines/>
      <w:widowControl w:val="0"/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</w:pPr>
    <w:r w:rsidRPr="009F2163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 xml:space="preserve">к извещению об осуществлении </w:t>
    </w:r>
  </w:p>
  <w:p w:rsidR="009F2163" w:rsidRPr="009F2163" w:rsidRDefault="009F2163" w:rsidP="009F2163">
    <w:pPr>
      <w:keepNext/>
      <w:keepLines/>
      <w:widowControl w:val="0"/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</w:pPr>
    <w:r w:rsidRPr="009F2163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электронного аукциона</w:t>
    </w:r>
    <w:r w:rsidR="003B452D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 xml:space="preserve"> 1</w:t>
    </w:r>
    <w:r w:rsidR="004C7726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7</w:t>
    </w:r>
    <w:r w:rsidR="004A204A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6</w:t>
    </w:r>
    <w:r w:rsidR="003B452D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а</w:t>
    </w:r>
  </w:p>
  <w:p w:rsidR="009F2163" w:rsidRPr="009F2163" w:rsidRDefault="009F2163" w:rsidP="009F21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B1F5C"/>
    <w:multiLevelType w:val="hybridMultilevel"/>
    <w:tmpl w:val="A64417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04226"/>
    <w:multiLevelType w:val="hybridMultilevel"/>
    <w:tmpl w:val="EEF616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33A56"/>
    <w:multiLevelType w:val="hybridMultilevel"/>
    <w:tmpl w:val="529CA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5006D9"/>
    <w:multiLevelType w:val="hybridMultilevel"/>
    <w:tmpl w:val="BA026A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B4914"/>
    <w:multiLevelType w:val="hybridMultilevel"/>
    <w:tmpl w:val="8FB6E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5F0129"/>
    <w:multiLevelType w:val="hybridMultilevel"/>
    <w:tmpl w:val="34BA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05E0E"/>
    <w:multiLevelType w:val="hybridMultilevel"/>
    <w:tmpl w:val="0C44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C2F81"/>
    <w:multiLevelType w:val="hybridMultilevel"/>
    <w:tmpl w:val="12FCB49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31"/>
    <w:rsid w:val="00030132"/>
    <w:rsid w:val="000614FB"/>
    <w:rsid w:val="000A3A82"/>
    <w:rsid w:val="000B5A64"/>
    <w:rsid w:val="000D2577"/>
    <w:rsid w:val="000D4200"/>
    <w:rsid w:val="000F6644"/>
    <w:rsid w:val="00107462"/>
    <w:rsid w:val="0015682F"/>
    <w:rsid w:val="001A7702"/>
    <w:rsid w:val="001C31C5"/>
    <w:rsid w:val="00270F67"/>
    <w:rsid w:val="0028269F"/>
    <w:rsid w:val="00293632"/>
    <w:rsid w:val="00346AE0"/>
    <w:rsid w:val="003A5F03"/>
    <w:rsid w:val="003B452D"/>
    <w:rsid w:val="0042549F"/>
    <w:rsid w:val="004347A5"/>
    <w:rsid w:val="004A204A"/>
    <w:rsid w:val="004B519C"/>
    <w:rsid w:val="004C7726"/>
    <w:rsid w:val="004F1F23"/>
    <w:rsid w:val="00543531"/>
    <w:rsid w:val="00573DB7"/>
    <w:rsid w:val="00575576"/>
    <w:rsid w:val="005B57ED"/>
    <w:rsid w:val="005B6A2D"/>
    <w:rsid w:val="005C1811"/>
    <w:rsid w:val="005E40A7"/>
    <w:rsid w:val="0060275B"/>
    <w:rsid w:val="00650917"/>
    <w:rsid w:val="00663419"/>
    <w:rsid w:val="006644D8"/>
    <w:rsid w:val="00695EE1"/>
    <w:rsid w:val="006F7B00"/>
    <w:rsid w:val="00721C38"/>
    <w:rsid w:val="00721C48"/>
    <w:rsid w:val="00766D23"/>
    <w:rsid w:val="00835BB9"/>
    <w:rsid w:val="008441C5"/>
    <w:rsid w:val="00874184"/>
    <w:rsid w:val="00882E13"/>
    <w:rsid w:val="008836D8"/>
    <w:rsid w:val="00887D99"/>
    <w:rsid w:val="008A2A76"/>
    <w:rsid w:val="008C3BEB"/>
    <w:rsid w:val="008F72D5"/>
    <w:rsid w:val="009159D5"/>
    <w:rsid w:val="009B1448"/>
    <w:rsid w:val="009E0EF9"/>
    <w:rsid w:val="009F2163"/>
    <w:rsid w:val="00A31E25"/>
    <w:rsid w:val="00A62E90"/>
    <w:rsid w:val="00A74695"/>
    <w:rsid w:val="00B00131"/>
    <w:rsid w:val="00B024CA"/>
    <w:rsid w:val="00B07903"/>
    <w:rsid w:val="00B468E8"/>
    <w:rsid w:val="00B838F9"/>
    <w:rsid w:val="00BA6C54"/>
    <w:rsid w:val="00C03734"/>
    <w:rsid w:val="00C44008"/>
    <w:rsid w:val="00C6113B"/>
    <w:rsid w:val="00C749C9"/>
    <w:rsid w:val="00C96956"/>
    <w:rsid w:val="00CC6D00"/>
    <w:rsid w:val="00CE2BDB"/>
    <w:rsid w:val="00D23EB3"/>
    <w:rsid w:val="00DC0CEC"/>
    <w:rsid w:val="00E75C61"/>
    <w:rsid w:val="00EB2687"/>
    <w:rsid w:val="00EE1EE9"/>
    <w:rsid w:val="00F86CD2"/>
    <w:rsid w:val="00F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83E329F-2316-46B8-8616-2CDADEC9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5BB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A76"/>
    <w:pPr>
      <w:ind w:left="720"/>
      <w:contextualSpacing/>
    </w:pPr>
  </w:style>
  <w:style w:type="paragraph" w:customStyle="1" w:styleId="p14">
    <w:name w:val="p14"/>
    <w:basedOn w:val="a"/>
    <w:rsid w:val="00874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74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874184"/>
  </w:style>
  <w:style w:type="character" w:styleId="a6">
    <w:name w:val="Hyperlink"/>
    <w:basedOn w:val="a0"/>
    <w:uiPriority w:val="99"/>
    <w:unhideWhenUsed/>
    <w:rsid w:val="00C9695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8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E13"/>
  </w:style>
  <w:style w:type="paragraph" w:styleId="a9">
    <w:name w:val="footer"/>
    <w:basedOn w:val="a"/>
    <w:link w:val="aa"/>
    <w:uiPriority w:val="99"/>
    <w:unhideWhenUsed/>
    <w:rsid w:val="0088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E13"/>
  </w:style>
  <w:style w:type="paragraph" w:customStyle="1" w:styleId="21">
    <w:name w:val="Основной текст с отступом 21"/>
    <w:basedOn w:val="a"/>
    <w:rsid w:val="0060275B"/>
    <w:pPr>
      <w:suppressAutoHyphens/>
      <w:autoSpaceDE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Cs/>
      <w:sz w:val="24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835BB9"/>
    <w:rPr>
      <w:rFonts w:ascii="Times New Roman" w:eastAsia="Times New Roman" w:hAnsi="Times New Roman" w:cs="Times New Roman"/>
      <w:sz w:val="28"/>
      <w:szCs w:val="26"/>
      <w:lang w:eastAsia="zh-CN"/>
    </w:rPr>
  </w:style>
  <w:style w:type="paragraph" w:styleId="ab">
    <w:name w:val="Body Text Indent"/>
    <w:basedOn w:val="a"/>
    <w:link w:val="ac"/>
    <w:rsid w:val="00835B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35BB9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573DB7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styleId="ad">
    <w:name w:val="Emphasis"/>
    <w:basedOn w:val="a0"/>
    <w:uiPriority w:val="20"/>
    <w:qFormat/>
    <w:rsid w:val="00573DB7"/>
    <w:rPr>
      <w:i/>
      <w:iCs/>
    </w:rPr>
  </w:style>
  <w:style w:type="paragraph" w:customStyle="1" w:styleId="ae">
    <w:name w:val="Текст в заданном формате"/>
    <w:basedOn w:val="a"/>
    <w:uiPriority w:val="99"/>
    <w:rsid w:val="00573DB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/>
    </w:rPr>
  </w:style>
  <w:style w:type="character" w:customStyle="1" w:styleId="FontStyle15">
    <w:name w:val="Font Style15"/>
    <w:uiPriority w:val="99"/>
    <w:rsid w:val="00573DB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Володченко Алина Юрьевна</dc:creator>
  <cp:keywords/>
  <dc:description/>
  <cp:lastModifiedBy>Булыкина Анна Александровна</cp:lastModifiedBy>
  <cp:revision>57</cp:revision>
  <cp:lastPrinted>2022-02-15T09:08:00Z</cp:lastPrinted>
  <dcterms:created xsi:type="dcterms:W3CDTF">2019-07-16T09:03:00Z</dcterms:created>
  <dcterms:modified xsi:type="dcterms:W3CDTF">2022-12-06T13:09:00Z</dcterms:modified>
</cp:coreProperties>
</file>