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8" w:rsidRPr="00F562B5" w:rsidRDefault="00E13607" w:rsidP="006C03E9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BB174C">
        <w:rPr>
          <w:rFonts w:ascii="Times New Roman CYR" w:eastAsia="Times New Roman CYR" w:hAnsi="Times New Roman CYR" w:cs="Times New Roman CYR"/>
          <w:b/>
          <w:bCs/>
          <w:iCs/>
        </w:rPr>
        <w:t>открытого конкурса в электронной форме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5D4030" w:rsidRPr="005D4030">
        <w:rPr>
          <w:b/>
        </w:rPr>
        <w:t>верхних конечностей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F826A7">
        <w:rPr>
          <w:b/>
        </w:rPr>
        <w:t xml:space="preserve"> </w:t>
      </w:r>
      <w:r w:rsidR="00F826A7" w:rsidRPr="00F826A7">
        <w:rPr>
          <w:b/>
        </w:rPr>
        <w:t>(для субъектов малого предпринимательства)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D0723" w:rsidRPr="004B4E7D" w:rsidRDefault="000D0723" w:rsidP="006C03E9">
      <w:pPr>
        <w:keepNext/>
        <w:keepLines/>
        <w:jc w:val="center"/>
        <w:rPr>
          <w:rFonts w:eastAsia="Times New Roman CYR" w:cs="Times New Roman CYR"/>
          <w:b/>
          <w:iCs/>
          <w:color w:val="000000"/>
          <w:spacing w:val="4"/>
        </w:rPr>
      </w:pPr>
    </w:p>
    <w:p w:rsidR="00F826A7" w:rsidRPr="004336A7" w:rsidRDefault="00F826A7" w:rsidP="00F826A7">
      <w:pPr>
        <w:keepNext/>
        <w:suppressAutoHyphens w:val="0"/>
        <w:ind w:firstLine="709"/>
        <w:jc w:val="both"/>
        <w:rPr>
          <w:color w:val="000000"/>
        </w:rPr>
      </w:pPr>
      <w:r w:rsidRPr="004336A7">
        <w:rPr>
          <w:color w:val="000000"/>
        </w:rPr>
        <w:t xml:space="preserve">Протезы </w:t>
      </w:r>
      <w:r w:rsidRPr="004336A7">
        <w:rPr>
          <w:bCs/>
        </w:rPr>
        <w:t xml:space="preserve">верхних </w:t>
      </w:r>
      <w:r w:rsidRPr="004336A7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4336A7">
        <w:rPr>
          <w:color w:val="000000"/>
        </w:rPr>
        <w:t>Р</w:t>
      </w:r>
      <w:proofErr w:type="gramEnd"/>
      <w:r w:rsidRPr="004336A7">
        <w:rPr>
          <w:color w:val="000000"/>
        </w:rPr>
        <w:t xml:space="preserve"> 56138-20</w:t>
      </w:r>
      <w:r>
        <w:rPr>
          <w:color w:val="000000"/>
        </w:rPr>
        <w:t>21</w:t>
      </w:r>
      <w:r w:rsidRPr="004336A7">
        <w:rPr>
          <w:color w:val="000000"/>
        </w:rPr>
        <w:t xml:space="preserve"> «Протезы верхних конечностей. Технические требования», </w:t>
      </w:r>
      <w:r>
        <w:rPr>
          <w:color w:val="000000"/>
        </w:rPr>
        <w:t>национального</w:t>
      </w:r>
      <w:r w:rsidRPr="004336A7">
        <w:rPr>
          <w:color w:val="000000"/>
        </w:rPr>
        <w:t xml:space="preserve"> стандарта Российской Федерации ГОСТ </w:t>
      </w:r>
      <w:proofErr w:type="gramStart"/>
      <w:r w:rsidRPr="004336A7">
        <w:rPr>
          <w:color w:val="000000"/>
        </w:rPr>
        <w:t>Р</w:t>
      </w:r>
      <w:proofErr w:type="gramEnd"/>
      <w:r w:rsidRPr="004336A7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t xml:space="preserve">Выполняемые работы </w:t>
      </w:r>
      <w:r w:rsidRPr="004336A7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4336A7">
        <w:t xml:space="preserve">должны </w:t>
      </w:r>
      <w:r w:rsidRPr="004336A7">
        <w:rPr>
          <w:color w:val="000000"/>
          <w:spacing w:val="-2"/>
        </w:rPr>
        <w:t>содержать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4336A7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</w:t>
      </w:r>
      <w:r w:rsidRPr="008B31C8">
        <w:rPr>
          <w:color w:val="000000"/>
          <w:spacing w:val="-2"/>
        </w:rPr>
        <w:t xml:space="preserve">ГОСТ </w:t>
      </w:r>
      <w:proofErr w:type="gramStart"/>
      <w:r w:rsidRPr="008B31C8">
        <w:rPr>
          <w:color w:val="000000"/>
          <w:spacing w:val="-2"/>
        </w:rPr>
        <w:t>Р</w:t>
      </w:r>
      <w:proofErr w:type="gramEnd"/>
      <w:r w:rsidRPr="008B31C8">
        <w:rPr>
          <w:color w:val="000000"/>
          <w:spacing w:val="-2"/>
        </w:rPr>
        <w:t xml:space="preserve"> 53874-2017 «Реабилитация и </w:t>
      </w:r>
      <w:proofErr w:type="spellStart"/>
      <w:r w:rsidRPr="008B31C8">
        <w:rPr>
          <w:color w:val="000000"/>
          <w:spacing w:val="-2"/>
        </w:rPr>
        <w:t>абилитация</w:t>
      </w:r>
      <w:proofErr w:type="spellEnd"/>
      <w:r w:rsidRPr="008B31C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8B31C8">
        <w:rPr>
          <w:color w:val="000000"/>
          <w:spacing w:val="-2"/>
        </w:rPr>
        <w:t>абилитационных</w:t>
      </w:r>
      <w:proofErr w:type="spellEnd"/>
      <w:r w:rsidRPr="008B31C8">
        <w:rPr>
          <w:color w:val="000000"/>
          <w:spacing w:val="-2"/>
        </w:rPr>
        <w:t xml:space="preserve"> услуг»</w:t>
      </w:r>
      <w:r w:rsidRPr="004336A7">
        <w:rPr>
          <w:color w:val="000000"/>
          <w:spacing w:val="-2"/>
        </w:rPr>
        <w:t>.</w:t>
      </w:r>
    </w:p>
    <w:p w:rsidR="00F826A7" w:rsidRDefault="00F826A7" w:rsidP="00F826A7">
      <w:pPr>
        <w:keepNext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двигательных функций и (или) </w:t>
      </w:r>
      <w:r w:rsidRPr="004318F7">
        <w:rPr>
          <w:color w:val="000000"/>
          <w:spacing w:val="-2"/>
        </w:rPr>
        <w:t>замещени</w:t>
      </w:r>
      <w:r>
        <w:rPr>
          <w:color w:val="000000"/>
          <w:spacing w:val="-2"/>
        </w:rPr>
        <w:t>е</w:t>
      </w:r>
      <w:r w:rsidRPr="004318F7">
        <w:rPr>
          <w:color w:val="000000"/>
          <w:spacing w:val="-2"/>
        </w:rPr>
        <w:t xml:space="preserve"> полностью или частично отсутствующего или неполного сегмента верхней конечности </w:t>
      </w:r>
      <w:r w:rsidRPr="004336A7">
        <w:rPr>
          <w:color w:val="000000"/>
          <w:spacing w:val="-2"/>
        </w:rPr>
        <w:t xml:space="preserve">в соответствии с </w:t>
      </w:r>
      <w:r w:rsidRPr="008B31C8">
        <w:rPr>
          <w:color w:val="000000"/>
          <w:spacing w:val="-2"/>
        </w:rPr>
        <w:t xml:space="preserve">ГОСТ </w:t>
      </w:r>
      <w:proofErr w:type="gramStart"/>
      <w:r w:rsidRPr="008B31C8">
        <w:rPr>
          <w:color w:val="000000"/>
          <w:spacing w:val="-2"/>
        </w:rPr>
        <w:t>Р</w:t>
      </w:r>
      <w:proofErr w:type="gramEnd"/>
      <w:r w:rsidRPr="008B31C8">
        <w:rPr>
          <w:color w:val="000000"/>
          <w:spacing w:val="-2"/>
        </w:rPr>
        <w:t xml:space="preserve"> 53874-2017 «Реабилитация и </w:t>
      </w:r>
      <w:proofErr w:type="spellStart"/>
      <w:r w:rsidRPr="008B31C8">
        <w:rPr>
          <w:color w:val="000000"/>
          <w:spacing w:val="-2"/>
        </w:rPr>
        <w:t>абилитация</w:t>
      </w:r>
      <w:proofErr w:type="spellEnd"/>
      <w:r w:rsidRPr="008B31C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8B31C8">
        <w:rPr>
          <w:color w:val="000000"/>
          <w:spacing w:val="-2"/>
        </w:rPr>
        <w:t>абилитационных</w:t>
      </w:r>
      <w:proofErr w:type="spellEnd"/>
      <w:r w:rsidRPr="008B31C8">
        <w:rPr>
          <w:color w:val="000000"/>
          <w:spacing w:val="-2"/>
        </w:rPr>
        <w:t xml:space="preserve"> услуг»</w:t>
      </w:r>
      <w:r w:rsidRPr="004336A7">
        <w:rPr>
          <w:color w:val="000000"/>
          <w:spacing w:val="-2"/>
        </w:rPr>
        <w:t>.</w:t>
      </w:r>
    </w:p>
    <w:p w:rsidR="00F826A7" w:rsidRDefault="00F826A7" w:rsidP="00F826A7">
      <w:pPr>
        <w:keepNext/>
        <w:ind w:firstLine="709"/>
        <w:jc w:val="both"/>
      </w:pPr>
      <w:r w:rsidRPr="004318F7">
        <w:t xml:space="preserve">Протезы должны быть </w:t>
      </w:r>
      <w:proofErr w:type="spellStart"/>
      <w:r w:rsidRPr="004318F7">
        <w:t>ремонтопригодными</w:t>
      </w:r>
      <w:proofErr w:type="spellEnd"/>
      <w:r w:rsidRPr="004318F7">
        <w:t xml:space="preserve"> в течение срока службы. Число и номенклатура запасных деталей и/или узлов должны быть указаны в ТУ на протез конкретного вида. </w:t>
      </w:r>
    </w:p>
    <w:p w:rsidR="00F826A7" w:rsidRDefault="00F826A7" w:rsidP="00F826A7">
      <w:pPr>
        <w:keepNext/>
        <w:ind w:firstLine="709"/>
        <w:jc w:val="both"/>
      </w:pPr>
      <w:r w:rsidRPr="004318F7"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826A7" w:rsidRPr="008C4536" w:rsidRDefault="00F826A7" w:rsidP="00F826A7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after="20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Протезы должны быть устойчивы к воздействию агрессивных биологических жидкостей (пота).</w:t>
      </w:r>
    </w:p>
    <w:p w:rsidR="00F826A7" w:rsidRDefault="00F826A7" w:rsidP="00F826A7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Протезы должны быть приспособлены (доступны) для чистки (от пыли и/или загрязненных материалов) дезинфекции и санитарно-гигиенической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протеза.</w:t>
      </w:r>
    </w:p>
    <w:p w:rsidR="00F826A7" w:rsidRDefault="00F826A7" w:rsidP="00F826A7">
      <w:pPr>
        <w:keepNext/>
        <w:ind w:firstLine="709"/>
        <w:jc w:val="both"/>
      </w:pPr>
      <w:r w:rsidRPr="00AF5BF6">
        <w:t>Необходимо соответствие внешнего вида и формы протеза внешнему виду и форме здоровой конечности пользователя.</w:t>
      </w:r>
    </w:p>
    <w:p w:rsidR="00F826A7" w:rsidRPr="00A661F9" w:rsidRDefault="00F826A7" w:rsidP="00F826A7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after="200"/>
        <w:ind w:firstLine="709"/>
        <w:contextualSpacing/>
        <w:jc w:val="both"/>
        <w:rPr>
          <w:color w:val="000000"/>
          <w:spacing w:val="-2"/>
        </w:rPr>
      </w:pPr>
      <w:r w:rsidRPr="00A661F9">
        <w:rPr>
          <w:szCs w:val="20"/>
          <w:lang w:eastAsia="ar-SA"/>
        </w:rPr>
        <w:t>Протезы пальцев и кисти косметические должны быть антропоморфны, иметь сходство с соответствующими сегментами конечности пользователя.</w:t>
      </w:r>
    </w:p>
    <w:p w:rsidR="00F826A7" w:rsidRPr="008C4536" w:rsidRDefault="00F826A7" w:rsidP="00F826A7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spacing w:after="20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 xml:space="preserve">Средства регулировки или управления элементов или узлов протеза должны быть легкодоступными и </w:t>
      </w:r>
      <w:proofErr w:type="spellStart"/>
      <w:r w:rsidRPr="008C4536">
        <w:rPr>
          <w:color w:val="000000"/>
          <w:spacing w:val="-2"/>
        </w:rPr>
        <w:t>эргономически</w:t>
      </w:r>
      <w:proofErr w:type="spellEnd"/>
      <w:r w:rsidRPr="008C4536">
        <w:rPr>
          <w:color w:val="000000"/>
          <w:spacing w:val="-2"/>
        </w:rPr>
        <w:t xml:space="preserve"> удобными для пользователя.</w:t>
      </w:r>
    </w:p>
    <w:p w:rsidR="00F826A7" w:rsidRPr="008C4536" w:rsidRDefault="00F826A7" w:rsidP="00F826A7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Движения в подвижных соединениях протеза должны быть плавными и без заеданий.</w:t>
      </w:r>
    </w:p>
    <w:p w:rsidR="00F826A7" w:rsidRPr="008C4536" w:rsidRDefault="00F826A7" w:rsidP="00F826A7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8C4536">
        <w:rPr>
          <w:color w:val="000000"/>
          <w:spacing w:val="-2"/>
        </w:rPr>
        <w:t>Элементы крепления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F826A7" w:rsidRDefault="00F826A7" w:rsidP="00F826A7">
      <w:pPr>
        <w:keepNext/>
        <w:ind w:firstLine="709"/>
        <w:jc w:val="both"/>
        <w:rPr>
          <w:rFonts w:eastAsia="Calibri"/>
          <w:color w:val="000000"/>
          <w:spacing w:val="-2"/>
          <w:lang w:eastAsia="en-US"/>
        </w:rPr>
      </w:pPr>
      <w:r w:rsidRPr="00A661F9">
        <w:rPr>
          <w:rFonts w:eastAsia="Calibri"/>
          <w:color w:val="000000"/>
          <w:spacing w:val="-2"/>
          <w:lang w:eastAsia="en-US"/>
        </w:rPr>
        <w:t>На поверхности металлических и пластмассовых деталей не допускаются трещины, забоины, вмятины, расслоения материала, заусенцы и острые кромки.</w:t>
      </w:r>
    </w:p>
    <w:p w:rsidR="00F826A7" w:rsidRPr="004336A7" w:rsidRDefault="00F826A7" w:rsidP="00F826A7">
      <w:pPr>
        <w:keepNext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u w:val="single"/>
        </w:rPr>
      </w:pPr>
      <w:r w:rsidRPr="004336A7">
        <w:rPr>
          <w:color w:val="000000"/>
          <w:spacing w:val="-2"/>
          <w:u w:val="single"/>
        </w:rPr>
        <w:t xml:space="preserve">В состав протезов верхних конечностей должны входить сопутствующие изделия: 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4336A7">
        <w:rPr>
          <w:bCs/>
        </w:rPr>
        <w:t>- оболочка косметическая латексная или оболочка косметическая — 1 шт.;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4336A7">
        <w:rPr>
          <w:bCs/>
        </w:rPr>
        <w:t>- перчатки шерстяные, кожаные или эластичные — 1 пара;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  <w:rPr>
          <w:bCs/>
        </w:rPr>
      </w:pPr>
      <w:r w:rsidRPr="004336A7">
        <w:rPr>
          <w:bCs/>
        </w:rPr>
        <w:t>- чехол хлопчатобумажный — 2 шт.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Металлические детали протезов </w:t>
      </w:r>
      <w:r w:rsidRPr="004336A7">
        <w:rPr>
          <w:bCs/>
        </w:rPr>
        <w:t xml:space="preserve">верхних </w:t>
      </w:r>
      <w:r w:rsidRPr="004336A7">
        <w:rPr>
          <w:color w:val="000000"/>
          <w:spacing w:val="-2"/>
        </w:rPr>
        <w:t xml:space="preserve">конечностей должны быть изготовлены из </w:t>
      </w:r>
      <w:r w:rsidRPr="004336A7">
        <w:rPr>
          <w:rFonts w:eastAsia="Lucida Sans Unicode"/>
          <w:color w:val="000000"/>
          <w:kern w:val="1"/>
        </w:rPr>
        <w:t xml:space="preserve">коррозионностойких </w:t>
      </w:r>
      <w:r w:rsidRPr="004336A7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F826A7" w:rsidRPr="00F82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F826A7">
        <w:lastRenderedPageBreak/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F826A7">
          <w:rPr>
            <w:rStyle w:val="af5"/>
            <w:color w:val="auto"/>
            <w:u w:val="none"/>
          </w:rPr>
          <w:t xml:space="preserve">ГОСТ </w:t>
        </w:r>
        <w:proofErr w:type="gramStart"/>
        <w:r w:rsidRPr="00F826A7">
          <w:rPr>
            <w:rStyle w:val="af5"/>
            <w:color w:val="auto"/>
            <w:u w:val="none"/>
          </w:rPr>
          <w:t>Р</w:t>
        </w:r>
        <w:proofErr w:type="gramEnd"/>
        <w:r w:rsidRPr="00F826A7">
          <w:rPr>
            <w:rStyle w:val="af5"/>
            <w:color w:val="auto"/>
            <w:u w:val="none"/>
          </w:rPr>
          <w:t xml:space="preserve"> ИСО 10993-1</w:t>
        </w:r>
      </w:hyperlink>
      <w:r w:rsidRPr="00F826A7">
        <w:t xml:space="preserve">-2011, </w:t>
      </w:r>
      <w:hyperlink r:id="rId10" w:history="1">
        <w:r w:rsidRPr="00F826A7">
          <w:rPr>
            <w:rStyle w:val="af5"/>
            <w:color w:val="auto"/>
            <w:u w:val="none"/>
          </w:rPr>
          <w:t>ГОСТ Р ИСО 10993-5</w:t>
        </w:r>
      </w:hyperlink>
      <w:r w:rsidRPr="00F826A7">
        <w:t xml:space="preserve">-2011 и </w:t>
      </w:r>
      <w:hyperlink r:id="rId11" w:history="1">
        <w:r w:rsidRPr="00F826A7">
          <w:rPr>
            <w:rStyle w:val="af5"/>
            <w:color w:val="auto"/>
            <w:u w:val="none"/>
          </w:rPr>
          <w:t>ГОСТ Р ИСО 10993-10</w:t>
        </w:r>
      </w:hyperlink>
      <w:r w:rsidRPr="00F826A7">
        <w:t xml:space="preserve">-2011 и </w:t>
      </w:r>
      <w:hyperlink r:id="rId12" w:history="1">
        <w:r w:rsidRPr="00F826A7">
          <w:rPr>
            <w:rStyle w:val="af5"/>
            <w:color w:val="auto"/>
            <w:u w:val="none"/>
          </w:rPr>
          <w:t>ГОСТ Р 52770</w:t>
        </w:r>
      </w:hyperlink>
      <w:r w:rsidRPr="00F826A7">
        <w:t>-2016.</w:t>
      </w:r>
    </w:p>
    <w:p w:rsidR="00F82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4C6C99">
        <w:t>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4C6C99">
        <w:t>подформовку</w:t>
      </w:r>
      <w:proofErr w:type="spellEnd"/>
      <w:r w:rsidRPr="004C6C99">
        <w:t>).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4336A7">
        <w:t>Материалы приемных гильз не должны деформироваться при нормальной эксплуатации протеза.</w:t>
      </w:r>
    </w:p>
    <w:p w:rsidR="00F826A7" w:rsidRPr="004336A7" w:rsidRDefault="00F826A7" w:rsidP="00F826A7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 xml:space="preserve">Маркировка протезов должна соответствовать требованиям ГОСТ </w:t>
      </w:r>
      <w:proofErr w:type="gramStart"/>
      <w:r w:rsidRPr="004336A7">
        <w:rPr>
          <w:color w:val="000000"/>
          <w:spacing w:val="-2"/>
        </w:rPr>
        <w:t>Р</w:t>
      </w:r>
      <w:proofErr w:type="gramEnd"/>
      <w:r w:rsidRPr="004336A7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F826A7" w:rsidRPr="004336A7" w:rsidRDefault="00F826A7" w:rsidP="00F826A7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4336A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F826A7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</w:t>
      </w:r>
      <w:r>
        <w:rPr>
          <w:color w:val="000000"/>
          <w:spacing w:val="-2"/>
        </w:rPr>
        <w:t>верхних</w:t>
      </w:r>
      <w:r w:rsidRPr="001455F6">
        <w:rPr>
          <w:color w:val="000000"/>
          <w:spacing w:val="-2"/>
        </w:rPr>
        <w:t xml:space="preserve">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 должны производиться в специализированном стационаре. </w:t>
      </w:r>
    </w:p>
    <w:p w:rsidR="00F826A7" w:rsidRPr="00151093" w:rsidRDefault="00F826A7" w:rsidP="00F826A7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</w:t>
      </w:r>
      <w:r>
        <w:rPr>
          <w:color w:val="000000"/>
          <w:spacing w:val="-2"/>
        </w:rPr>
        <w:t>верхних</w:t>
      </w:r>
      <w:r w:rsidRPr="001455F6">
        <w:rPr>
          <w:color w:val="000000"/>
          <w:spacing w:val="-2"/>
        </w:rPr>
        <w:t xml:space="preserve">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667A17" w:rsidRDefault="00667A17" w:rsidP="006C03E9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</w:t>
      </w:r>
      <w:r>
        <w:rPr>
          <w:rFonts w:ascii="Times New Roman CYR" w:eastAsia="Times New Roman CYR" w:hAnsi="Times New Roman CYR" w:cs="Times New Roman CYR"/>
          <w:b/>
          <w:bCs/>
          <w:iCs/>
        </w:rPr>
        <w:t>йные обязательства</w:t>
      </w:r>
      <w:r w:rsidRPr="00114567">
        <w:rPr>
          <w:rFonts w:ascii="Times New Roman CYR" w:eastAsia="Times New Roman CYR" w:hAnsi="Times New Roman CYR" w:cs="Times New Roman CYR"/>
          <w:b/>
          <w:bCs/>
          <w:iCs/>
        </w:rPr>
        <w:t>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D4030" w:rsidRPr="005D4030" w:rsidRDefault="005D4030" w:rsidP="005D403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ind w:firstLine="709"/>
        <w:jc w:val="both"/>
        <w:rPr>
          <w:rStyle w:val="6"/>
          <w:color w:val="000000"/>
          <w:spacing w:val="2"/>
        </w:rPr>
      </w:pPr>
      <w:r w:rsidRPr="005D4030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5D4030">
        <w:rPr>
          <w:rStyle w:val="6"/>
          <w:color w:val="000000"/>
          <w:spacing w:val="2"/>
        </w:rPr>
        <w:t>с даты подписания</w:t>
      </w:r>
      <w:proofErr w:type="gramEnd"/>
      <w:r w:rsidRPr="005D4030">
        <w:rPr>
          <w:rStyle w:val="6"/>
          <w:color w:val="000000"/>
          <w:spacing w:val="2"/>
        </w:rPr>
        <w:t xml:space="preserve"> Акта о приемке работ Получателем и должен составлять: </w:t>
      </w:r>
    </w:p>
    <w:p w:rsidR="005D4030" w:rsidRPr="005D4030" w:rsidRDefault="005D4030" w:rsidP="005D403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D4030">
        <w:rPr>
          <w:color w:val="000000"/>
          <w:spacing w:val="-2"/>
        </w:rPr>
        <w:t>- на протезы кисти косметические – не менее 3 месяцев,</w:t>
      </w:r>
    </w:p>
    <w:p w:rsidR="005D4030" w:rsidRPr="005D4030" w:rsidRDefault="005D4030" w:rsidP="005D403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D4030">
        <w:rPr>
          <w:color w:val="000000"/>
          <w:spacing w:val="-2"/>
        </w:rPr>
        <w:t>- на протезы плеча и предплечья – не менее 2 лет.</w:t>
      </w:r>
    </w:p>
    <w:p w:rsidR="005D4030" w:rsidRPr="005D4030" w:rsidRDefault="005D4030" w:rsidP="005D403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5D4030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proofErr w:type="gramStart"/>
      <w:r w:rsidRPr="005D4030">
        <w:rPr>
          <w:rStyle w:val="6"/>
          <w:color w:val="000000"/>
          <w:spacing w:val="2"/>
        </w:rPr>
        <w:t>с даты подписания</w:t>
      </w:r>
      <w:proofErr w:type="gramEnd"/>
      <w:r w:rsidRPr="005D4030">
        <w:rPr>
          <w:rStyle w:val="6"/>
          <w:color w:val="000000"/>
          <w:spacing w:val="2"/>
        </w:rPr>
        <w:t xml:space="preserve"> Акта о приемке работ Получателем</w:t>
      </w:r>
      <w:r w:rsidRPr="005D4030">
        <w:rPr>
          <w:color w:val="000000"/>
          <w:spacing w:val="-2"/>
        </w:rPr>
        <w:t xml:space="preserve"> и </w:t>
      </w:r>
      <w:r w:rsidRPr="005D4030">
        <w:rPr>
          <w:rStyle w:val="6"/>
          <w:color w:val="000000"/>
          <w:spacing w:val="2"/>
        </w:rPr>
        <w:t>должен составлять</w:t>
      </w:r>
      <w:r w:rsidRPr="005D4030">
        <w:rPr>
          <w:color w:val="000000"/>
          <w:spacing w:val="-2"/>
        </w:rPr>
        <w:t>:</w:t>
      </w:r>
    </w:p>
    <w:p w:rsidR="005D4030" w:rsidRPr="005D4030" w:rsidRDefault="005D4030" w:rsidP="005D403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D4030">
        <w:rPr>
          <w:color w:val="000000"/>
          <w:spacing w:val="-2"/>
        </w:rPr>
        <w:t>-  на протезы кисти косметические - не менее 2 месяцев,</w:t>
      </w:r>
    </w:p>
    <w:p w:rsidR="005D4030" w:rsidRPr="005D4030" w:rsidRDefault="005D4030" w:rsidP="005D403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D4030">
        <w:rPr>
          <w:color w:val="000000"/>
          <w:spacing w:val="-2"/>
        </w:rPr>
        <w:t xml:space="preserve"> - на протезы плеча и предплечья – не менее 7 месяцев.</w:t>
      </w:r>
    </w:p>
    <w:p w:rsidR="005D4030" w:rsidRPr="005D4030" w:rsidRDefault="005D4030" w:rsidP="005D4030">
      <w:pPr>
        <w:pStyle w:val="af4"/>
        <w:keepNext/>
        <w:numPr>
          <w:ilvl w:val="0"/>
          <w:numId w:val="5"/>
        </w:numPr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5D4030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667A17" w:rsidRPr="002F5BEA" w:rsidRDefault="00667A17" w:rsidP="006C03E9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2F5BEA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2F5BEA">
        <w:t xml:space="preserve"> из указанных требований.</w:t>
      </w:r>
    </w:p>
    <w:p w:rsidR="00F826A7" w:rsidRDefault="00F826A7" w:rsidP="00F826A7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A86BD3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A86BD3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BA07A8" w:rsidRDefault="00BA07A8" w:rsidP="006C03E9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954"/>
        <w:gridCol w:w="1134"/>
        <w:gridCol w:w="1134"/>
      </w:tblGrid>
      <w:tr w:rsidR="0086077E" w:rsidRPr="00C5756C" w:rsidTr="0086077E">
        <w:trPr>
          <w:trHeight w:val="2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7E" w:rsidRPr="00C5756C" w:rsidRDefault="0086077E" w:rsidP="005D4030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86077E" w:rsidRPr="00C5756C" w:rsidRDefault="0086077E" w:rsidP="005D4030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077E" w:rsidRPr="00C5756C" w:rsidRDefault="0086077E" w:rsidP="005D4030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77E" w:rsidRPr="0043548D" w:rsidRDefault="0086077E" w:rsidP="005D4030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 xml:space="preserve">Объем, </w:t>
            </w:r>
            <w:r>
              <w:rPr>
                <w:sz w:val="18"/>
                <w:szCs w:val="18"/>
              </w:rPr>
              <w:t>шт</w:t>
            </w:r>
            <w:r w:rsidRPr="004354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7E" w:rsidRPr="0043548D" w:rsidRDefault="0086077E" w:rsidP="005D4030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цена за ед. работы</w:t>
            </w:r>
            <w:bookmarkStart w:id="0" w:name="_GoBack"/>
            <w:bookmarkEnd w:id="0"/>
          </w:p>
        </w:tc>
      </w:tr>
      <w:tr w:rsidR="0086077E" w:rsidTr="008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2268" w:type="dxa"/>
            <w:shd w:val="clear" w:color="auto" w:fill="auto"/>
          </w:tcPr>
          <w:p w:rsidR="0086077E" w:rsidRDefault="0086077E" w:rsidP="005D4030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  <w:p w:rsidR="0086077E" w:rsidRPr="009F0AC2" w:rsidRDefault="0086077E" w:rsidP="005D403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6077E" w:rsidRPr="002535C2" w:rsidRDefault="0086077E" w:rsidP="005D4030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кисти косметический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предназначен при ампутации и врожденном дефекте верхних конечностей в пределах кисти. Управление функциями протеза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2535C2">
              <w:rPr>
                <w:color w:val="000000"/>
                <w:sz w:val="21"/>
                <w:szCs w:val="21"/>
              </w:rPr>
              <w:t>осуществля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2535C2">
              <w:rPr>
                <w:color w:val="000000"/>
                <w:sz w:val="21"/>
                <w:szCs w:val="21"/>
              </w:rPr>
              <w:t xml:space="preserve">ся пассивно здоровой рукой и приспособительными движениями.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 силиконовая с армирующей сеткой. Приемная гильза (полость)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из композиционного материала. </w:t>
            </w:r>
            <w:r w:rsidRPr="002535C2">
              <w:rPr>
                <w:color w:val="000000"/>
                <w:sz w:val="21"/>
                <w:szCs w:val="21"/>
              </w:rPr>
              <w:lastRenderedPageBreak/>
              <w:t xml:space="preserve">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по желанию инвалида: за счет формы приемной полости (гильзы), при помощи застежки-молнии. Изготовление индивидуальное.</w:t>
            </w:r>
          </w:p>
        </w:tc>
        <w:tc>
          <w:tcPr>
            <w:tcW w:w="1134" w:type="dxa"/>
          </w:tcPr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6077E">
              <w:rPr>
                <w:color w:val="000000"/>
                <w:sz w:val="22"/>
                <w:szCs w:val="22"/>
              </w:rPr>
              <w:t>32 000,00</w:t>
            </w:r>
          </w:p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77E" w:rsidTr="008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3"/>
        </w:trPr>
        <w:tc>
          <w:tcPr>
            <w:tcW w:w="2268" w:type="dxa"/>
            <w:shd w:val="clear" w:color="auto" w:fill="auto"/>
          </w:tcPr>
          <w:p w:rsidR="0086077E" w:rsidRDefault="0086077E" w:rsidP="005D4030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lastRenderedPageBreak/>
              <w:t>Протез предплечья активный</w:t>
            </w:r>
            <w:r>
              <w:rPr>
                <w:sz w:val="22"/>
                <w:szCs w:val="22"/>
              </w:rPr>
              <w:t xml:space="preserve"> (тяговый)</w:t>
            </w:r>
          </w:p>
          <w:p w:rsidR="0086077E" w:rsidRPr="009F0AC2" w:rsidRDefault="0086077E" w:rsidP="005D403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6077E" w:rsidRPr="002535C2" w:rsidRDefault="0086077E" w:rsidP="005D4030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пластмассовая, активная с пассивной ротацией. Оболочка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 ПВХ/пластизоль или оболочка косметическая силиконовая.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одинарная или гильза индивидуальная составная из слоистого пластика на основе связующих смол, из листового термопласта, кожи.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индивидуальное, подгоночное, функциональное, с использованием кожаных полуфабрикатов. Изготовление индивидуальное.</w:t>
            </w:r>
          </w:p>
        </w:tc>
        <w:tc>
          <w:tcPr>
            <w:tcW w:w="1134" w:type="dxa"/>
          </w:tcPr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6077E">
              <w:rPr>
                <w:color w:val="000000"/>
                <w:sz w:val="22"/>
                <w:szCs w:val="22"/>
              </w:rPr>
              <w:t>110333,00</w:t>
            </w:r>
          </w:p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77E" w:rsidTr="008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268" w:type="dxa"/>
            <w:shd w:val="clear" w:color="auto" w:fill="auto"/>
          </w:tcPr>
          <w:p w:rsidR="0086077E" w:rsidRDefault="0086077E" w:rsidP="005D4030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>Протез предплечья косметический</w:t>
            </w:r>
          </w:p>
          <w:p w:rsidR="0086077E" w:rsidRPr="009F0AC2" w:rsidRDefault="0086077E" w:rsidP="005D403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6077E" w:rsidRPr="002535C2" w:rsidRDefault="0086077E" w:rsidP="005D4030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косметический, функционально-косметический. Активное управление отсутствует, пассивное управление </w:t>
            </w:r>
            <w:r>
              <w:rPr>
                <w:color w:val="000000"/>
                <w:sz w:val="21"/>
                <w:szCs w:val="21"/>
              </w:rPr>
              <w:t>должно быть</w:t>
            </w:r>
            <w:r w:rsidRPr="002535C2">
              <w:rPr>
                <w:color w:val="000000"/>
                <w:sz w:val="21"/>
                <w:szCs w:val="21"/>
              </w:rPr>
              <w:t xml:space="preserve"> сохранившейся рукой или </w:t>
            </w:r>
            <w:proofErr w:type="spellStart"/>
            <w:r w:rsidRPr="002535C2">
              <w:rPr>
                <w:color w:val="000000"/>
                <w:sz w:val="21"/>
                <w:szCs w:val="21"/>
              </w:rPr>
              <w:t>противоупором</w:t>
            </w:r>
            <w:proofErr w:type="spellEnd"/>
            <w:r w:rsidRPr="002535C2">
              <w:rPr>
                <w:color w:val="000000"/>
                <w:sz w:val="21"/>
                <w:szCs w:val="21"/>
              </w:rPr>
              <w:t xml:space="preserve">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косметическая, силиконовая с несъемной формообразующей арматурой в пальцах, адаптером в запястье.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без косметической облицовки или с косметической облицовкой.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</w:t>
            </w:r>
            <w:proofErr w:type="spellStart"/>
            <w:r w:rsidRPr="002535C2">
              <w:rPr>
                <w:color w:val="000000"/>
                <w:sz w:val="21"/>
                <w:szCs w:val="21"/>
              </w:rPr>
              <w:t>неспадающая</w:t>
            </w:r>
            <w:proofErr w:type="spellEnd"/>
            <w:r w:rsidRPr="002535C2">
              <w:rPr>
                <w:color w:val="000000"/>
                <w:sz w:val="21"/>
                <w:szCs w:val="21"/>
              </w:rPr>
              <w:t xml:space="preserve"> (одна пробная гильза).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535C2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Допускается применение вкладных гильз из вспененных материалов. Крепление протеза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за счет формы приемной гильзы, индивидуальное, специальное. Изготовление индивидуальное.</w:t>
            </w:r>
          </w:p>
        </w:tc>
        <w:tc>
          <w:tcPr>
            <w:tcW w:w="1134" w:type="dxa"/>
          </w:tcPr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6077E">
              <w:rPr>
                <w:color w:val="000000"/>
                <w:sz w:val="22"/>
                <w:szCs w:val="22"/>
              </w:rPr>
              <w:t>84 550,00</w:t>
            </w:r>
          </w:p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77E" w:rsidTr="008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268" w:type="dxa"/>
            <w:shd w:val="clear" w:color="auto" w:fill="auto"/>
          </w:tcPr>
          <w:p w:rsidR="0086077E" w:rsidRDefault="0086077E" w:rsidP="005D4030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 xml:space="preserve">Протез </w:t>
            </w:r>
            <w:r>
              <w:rPr>
                <w:sz w:val="22"/>
                <w:szCs w:val="22"/>
              </w:rPr>
              <w:t>предплечья</w:t>
            </w:r>
            <w:r w:rsidRPr="009F0A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рабочий</w:t>
            </w:r>
          </w:p>
          <w:p w:rsidR="0086077E" w:rsidRPr="009F0AC2" w:rsidRDefault="0086077E" w:rsidP="005D403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6077E" w:rsidRPr="002535C2" w:rsidRDefault="0086077E" w:rsidP="005D4030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предплечья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рабочий. Приёмная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>изготовлена по индивидуальному слепку с культи инвалида.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2535C2">
              <w:rPr>
                <w:color w:val="000000"/>
                <w:sz w:val="21"/>
                <w:szCs w:val="21"/>
              </w:rPr>
              <w:t xml:space="preserve">: литьевой слоистый пластик на основе связующих смол, листовой термопласт. Кисть отсутствует. Протез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>с комплектом рабочих насадок; без косметической облицовки. Крепление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2535C2">
              <w:rPr>
                <w:color w:val="000000"/>
                <w:sz w:val="21"/>
                <w:szCs w:val="21"/>
              </w:rPr>
              <w:t xml:space="preserve"> за счет формы приемной гильзы, индивидуальное, специальное. Изготовление индивидуальное.</w:t>
            </w:r>
          </w:p>
        </w:tc>
        <w:tc>
          <w:tcPr>
            <w:tcW w:w="1134" w:type="dxa"/>
          </w:tcPr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6077E">
              <w:rPr>
                <w:color w:val="000000"/>
                <w:sz w:val="22"/>
                <w:szCs w:val="22"/>
              </w:rPr>
              <w:t>63 716,00</w:t>
            </w:r>
          </w:p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77E" w:rsidTr="008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268" w:type="dxa"/>
            <w:shd w:val="clear" w:color="auto" w:fill="auto"/>
          </w:tcPr>
          <w:p w:rsidR="0086077E" w:rsidRDefault="0086077E" w:rsidP="005D4030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>Протез плеч</w:t>
            </w:r>
            <w:r>
              <w:rPr>
                <w:sz w:val="22"/>
                <w:szCs w:val="22"/>
              </w:rPr>
              <w:t xml:space="preserve">а </w:t>
            </w:r>
            <w:r w:rsidRPr="009F0AC2">
              <w:rPr>
                <w:sz w:val="22"/>
                <w:szCs w:val="22"/>
              </w:rPr>
              <w:t>косметический</w:t>
            </w:r>
          </w:p>
          <w:p w:rsidR="0086077E" w:rsidRPr="009F0AC2" w:rsidRDefault="0086077E" w:rsidP="005D403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6077E" w:rsidRPr="002535C2" w:rsidRDefault="0086077E" w:rsidP="005D4030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2535C2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косметический (функционально-косметический),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>косметическая силиконовая или из ПВХ, или пассивная пластмассовая с косметической оболочкой (ПВХ), или каркасная с формообразующей и косметической оболочками (ПВХ).</w:t>
            </w:r>
            <w:proofErr w:type="gramEnd"/>
            <w:r w:rsidRPr="002535C2">
              <w:rPr>
                <w:color w:val="000000"/>
                <w:sz w:val="21"/>
                <w:szCs w:val="21"/>
              </w:rPr>
              <w:t xml:space="preserve"> Узел локоть-предплечье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с пассивной фиксацией или с замком в локтевом шарнире;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 xml:space="preserve">индивидуальная или унифицированная, одинарная или составная из слоистого пластика на основе связующих смол или листового термопласта.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2535C2">
              <w:rPr>
                <w:color w:val="000000"/>
                <w:sz w:val="21"/>
                <w:szCs w:val="21"/>
              </w:rPr>
              <w:t>индивидуальное, подгоночное, специальное. Изготовление индивидуальное.</w:t>
            </w:r>
          </w:p>
        </w:tc>
        <w:tc>
          <w:tcPr>
            <w:tcW w:w="1134" w:type="dxa"/>
          </w:tcPr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6077E">
              <w:rPr>
                <w:color w:val="000000"/>
                <w:sz w:val="22"/>
                <w:szCs w:val="22"/>
              </w:rPr>
              <w:t>107020,00</w:t>
            </w:r>
          </w:p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77E" w:rsidTr="00860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2268" w:type="dxa"/>
            <w:shd w:val="clear" w:color="auto" w:fill="auto"/>
          </w:tcPr>
          <w:p w:rsidR="0086077E" w:rsidRDefault="0086077E" w:rsidP="005D4030">
            <w:pPr>
              <w:keepNext/>
              <w:rPr>
                <w:sz w:val="22"/>
                <w:szCs w:val="22"/>
              </w:rPr>
            </w:pPr>
            <w:r w:rsidRPr="009F0AC2">
              <w:rPr>
                <w:sz w:val="22"/>
                <w:szCs w:val="22"/>
              </w:rPr>
              <w:t>Протез плеч</w:t>
            </w:r>
            <w:r>
              <w:rPr>
                <w:sz w:val="22"/>
                <w:szCs w:val="22"/>
              </w:rPr>
              <w:t>а</w:t>
            </w:r>
            <w:r w:rsidRPr="009F0AC2">
              <w:rPr>
                <w:sz w:val="22"/>
                <w:szCs w:val="22"/>
              </w:rPr>
              <w:t xml:space="preserve"> активный</w:t>
            </w:r>
            <w:r>
              <w:rPr>
                <w:sz w:val="22"/>
                <w:szCs w:val="22"/>
              </w:rPr>
              <w:t xml:space="preserve"> (тяговый)</w:t>
            </w:r>
          </w:p>
          <w:p w:rsidR="0086077E" w:rsidRPr="009F0AC2" w:rsidRDefault="0086077E" w:rsidP="005D4030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6077E" w:rsidRPr="002535C2" w:rsidRDefault="0086077E" w:rsidP="005D4030">
            <w:pPr>
              <w:jc w:val="both"/>
              <w:rPr>
                <w:color w:val="000000"/>
                <w:sz w:val="21"/>
                <w:szCs w:val="21"/>
              </w:rPr>
            </w:pPr>
            <w:r w:rsidRPr="002535C2">
              <w:rPr>
                <w:color w:val="000000"/>
                <w:sz w:val="21"/>
                <w:szCs w:val="21"/>
              </w:rPr>
              <w:t xml:space="preserve">Протез плеча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color w:val="000000"/>
                <w:sz w:val="21"/>
                <w:szCs w:val="21"/>
              </w:rPr>
              <w:t xml:space="preserve">активный, с тяговым управлением. Кисть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color w:val="000000"/>
                <w:sz w:val="21"/>
                <w:szCs w:val="21"/>
              </w:rPr>
              <w:t>пластмассовая, активная с пассивной ротацией.</w:t>
            </w:r>
            <w:r w:rsidRPr="002535C2"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>
              <w:rPr>
                <w:sz w:val="21"/>
                <w:szCs w:val="21"/>
              </w:rPr>
              <w:t>с</w:t>
            </w:r>
            <w:r w:rsidRPr="002535C2">
              <w:rPr>
                <w:sz w:val="21"/>
                <w:szCs w:val="21"/>
              </w:rPr>
              <w:t xml:space="preserve">иликоновая косметическая оболочка для механических кистей. </w:t>
            </w:r>
            <w:proofErr w:type="gramStart"/>
            <w:r w:rsidRPr="002535C2">
              <w:rPr>
                <w:sz w:val="21"/>
                <w:szCs w:val="21"/>
              </w:rPr>
              <w:t xml:space="preserve">Узел локоть-предплечье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2535C2">
              <w:rPr>
                <w:sz w:val="21"/>
                <w:szCs w:val="21"/>
              </w:rPr>
              <w:t>с замком в шарнире с ручной фиксацией локтя и вращающимся плечевом РСУ, пассивной ротацией плеча.</w:t>
            </w:r>
            <w:proofErr w:type="gramEnd"/>
            <w:r w:rsidRPr="002535C2">
              <w:rPr>
                <w:sz w:val="21"/>
                <w:szCs w:val="21"/>
              </w:rPr>
              <w:t xml:space="preserve"> Оболочка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sz w:val="21"/>
                <w:szCs w:val="21"/>
              </w:rPr>
              <w:t xml:space="preserve">косметическая ПВХ или оболочка косметическая силиконовая. Гильза плеча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2535C2">
              <w:rPr>
                <w:sz w:val="21"/>
                <w:szCs w:val="21"/>
              </w:rPr>
              <w:t xml:space="preserve">индивидуальная одинарная или составная из слоистого пластика на основе связующих смол или листового термопласта. Без косметической оболочки или с косметической оболочкой. Крепление </w:t>
            </w:r>
            <w:r>
              <w:rPr>
                <w:color w:val="000000"/>
                <w:sz w:val="21"/>
                <w:szCs w:val="21"/>
              </w:rPr>
              <w:t>должно быть</w:t>
            </w:r>
            <w:r w:rsidRPr="002535C2">
              <w:rPr>
                <w:sz w:val="21"/>
                <w:szCs w:val="21"/>
              </w:rPr>
              <w:t xml:space="preserve"> </w:t>
            </w:r>
            <w:proofErr w:type="spellStart"/>
            <w:r w:rsidRPr="002535C2">
              <w:rPr>
                <w:sz w:val="21"/>
                <w:szCs w:val="21"/>
              </w:rPr>
              <w:t>трехтяговый</w:t>
            </w:r>
            <w:proofErr w:type="spellEnd"/>
            <w:r w:rsidRPr="002535C2">
              <w:rPr>
                <w:sz w:val="21"/>
                <w:szCs w:val="21"/>
              </w:rPr>
              <w:t xml:space="preserve"> бандаж на плечо</w:t>
            </w:r>
            <w:r w:rsidRPr="002535C2">
              <w:rPr>
                <w:color w:val="FF0000"/>
                <w:sz w:val="21"/>
                <w:szCs w:val="21"/>
              </w:rPr>
              <w:t>.</w:t>
            </w:r>
            <w:r w:rsidRPr="002535C2">
              <w:rPr>
                <w:color w:val="000000"/>
                <w:sz w:val="21"/>
                <w:szCs w:val="21"/>
              </w:rPr>
              <w:t xml:space="preserve"> Изготовление индивидуальное.</w:t>
            </w:r>
          </w:p>
        </w:tc>
        <w:tc>
          <w:tcPr>
            <w:tcW w:w="1134" w:type="dxa"/>
          </w:tcPr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86077E">
              <w:rPr>
                <w:color w:val="000000"/>
                <w:sz w:val="22"/>
                <w:szCs w:val="22"/>
              </w:rPr>
              <w:t>177376,00</w:t>
            </w:r>
          </w:p>
          <w:p w:rsidR="0086077E" w:rsidRPr="0086077E" w:rsidRDefault="0086077E" w:rsidP="0086077E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  <w:p w:rsidR="0086077E" w:rsidRDefault="0086077E" w:rsidP="005D4030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E08C6" w:rsidRDefault="008E08C6" w:rsidP="006C03E9">
      <w:pPr>
        <w:keepNext/>
        <w:keepLines/>
        <w:snapToGrid w:val="0"/>
        <w:rPr>
          <w:bCs/>
          <w:iCs/>
        </w:rPr>
      </w:pPr>
    </w:p>
    <w:p w:rsidR="0086077E" w:rsidRPr="008C40E4" w:rsidRDefault="0086077E" w:rsidP="0086077E">
      <w:pPr>
        <w:pStyle w:val="a1"/>
        <w:keepNext/>
        <w:numPr>
          <w:ilvl w:val="0"/>
          <w:numId w:val="2"/>
        </w:numPr>
        <w:shd w:val="clear" w:color="auto" w:fill="FFFFFF"/>
        <w:tabs>
          <w:tab w:val="left" w:pos="1387"/>
          <w:tab w:val="left" w:pos="3544"/>
        </w:tabs>
        <w:ind w:firstLine="680"/>
        <w:jc w:val="both"/>
        <w:rPr>
          <w:rFonts w:eastAsia="Times New Roman CYR" w:cs="Arial CYR"/>
          <w:b w:val="0"/>
          <w:bCs w:val="0"/>
          <w:color w:val="000000"/>
          <w:spacing w:val="-2"/>
          <w:sz w:val="24"/>
        </w:rPr>
      </w:pPr>
      <w:r w:rsidRPr="008C40E4">
        <w:rPr>
          <w:sz w:val="24"/>
        </w:rPr>
        <w:lastRenderedPageBreak/>
        <w:t>Место и условия выполнения работ:</w:t>
      </w:r>
      <w:r w:rsidRPr="008C40E4">
        <w:rPr>
          <w:b w:val="0"/>
          <w:sz w:val="24"/>
        </w:rPr>
        <w:t xml:space="preserve"> </w:t>
      </w:r>
      <w:r w:rsidRPr="008C40E4">
        <w:rPr>
          <w:rFonts w:eastAsia="Times New Roman CYR" w:cs="Arial CYR"/>
          <w:b w:val="0"/>
          <w:color w:val="000000"/>
          <w:spacing w:val="-2"/>
          <w:sz w:val="24"/>
        </w:rPr>
        <w:t xml:space="preserve">по месту нахождения Исполнителя. </w:t>
      </w:r>
      <w:r w:rsidRPr="008C40E4">
        <w:rPr>
          <w:b w:val="0"/>
          <w:color w:val="000000"/>
          <w:spacing w:val="-2"/>
          <w:sz w:val="24"/>
        </w:rPr>
        <w:t xml:space="preserve">Оформление индивидуального заказа и передача </w:t>
      </w:r>
      <w:r w:rsidRPr="008C40E4">
        <w:rPr>
          <w:b w:val="0"/>
          <w:color w:val="000000"/>
          <w:sz w:val="24"/>
        </w:rPr>
        <w:t>протезно-ортопедических изделий</w:t>
      </w:r>
      <w:r w:rsidRPr="008C40E4">
        <w:rPr>
          <w:b w:val="0"/>
          <w:color w:val="000000"/>
          <w:spacing w:val="-2"/>
          <w:sz w:val="24"/>
        </w:rPr>
        <w:t xml:space="preserve"> маломобильным инвалидам </w:t>
      </w:r>
      <w:r w:rsidRPr="008C40E4">
        <w:rPr>
          <w:b w:val="0"/>
          <w:sz w:val="24"/>
        </w:rPr>
        <w:t xml:space="preserve">и отдельным категориям граждан из числа ветеранов </w:t>
      </w:r>
      <w:r w:rsidRPr="008C40E4">
        <w:rPr>
          <w:b w:val="0"/>
          <w:color w:val="000000"/>
          <w:spacing w:val="-2"/>
          <w:sz w:val="24"/>
        </w:rPr>
        <w:t>осуществляется по месту их жительства (в пределах Тульской области).</w:t>
      </w:r>
    </w:p>
    <w:p w:rsidR="0086077E" w:rsidRDefault="0086077E" w:rsidP="0086077E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Pr="008C40E4">
        <w:t xml:space="preserve">в срок, не превышающий 30 календарных дней </w:t>
      </w:r>
      <w:proofErr w:type="gramStart"/>
      <w:r w:rsidRPr="008C40E4">
        <w:t>с даты обращения</w:t>
      </w:r>
      <w:proofErr w:type="gramEnd"/>
      <w:r w:rsidRPr="008C40E4">
        <w:t xml:space="preserve"> инвалида с Направлением, выданным Заказчиком, или с даты получения разнарядки от Заказчика, но не позднее </w:t>
      </w:r>
      <w:r>
        <w:t>09 сентября 2022</w:t>
      </w:r>
      <w:r w:rsidRPr="008C40E4">
        <w:t xml:space="preserve"> г.</w:t>
      </w:r>
    </w:p>
    <w:p w:rsidR="0086077E" w:rsidRDefault="0086077E" w:rsidP="0086077E">
      <w:pPr>
        <w:keepNext/>
        <w:ind w:firstLine="709"/>
        <w:jc w:val="both"/>
        <w:rPr>
          <w:bCs/>
          <w:iCs/>
        </w:rPr>
      </w:pPr>
      <w:r>
        <w:rPr>
          <w:bCs/>
          <w:iCs/>
        </w:rPr>
        <w:t xml:space="preserve">Предполагаемый срок размещения закупки – </w:t>
      </w:r>
      <w:r>
        <w:rPr>
          <w:bCs/>
          <w:iCs/>
        </w:rPr>
        <w:t>но</w:t>
      </w:r>
      <w:r>
        <w:rPr>
          <w:bCs/>
          <w:iCs/>
        </w:rPr>
        <w:t>ябрь 2021 года.</w:t>
      </w:r>
    </w:p>
    <w:p w:rsidR="0086077E" w:rsidRPr="009529E8" w:rsidRDefault="0086077E" w:rsidP="006C03E9">
      <w:pPr>
        <w:keepNext/>
        <w:keepLines/>
        <w:snapToGrid w:val="0"/>
        <w:rPr>
          <w:bCs/>
          <w:iCs/>
        </w:rPr>
      </w:pPr>
    </w:p>
    <w:sectPr w:rsidR="0086077E" w:rsidRPr="009529E8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6A7" w:rsidRDefault="00F826A7" w:rsidP="001653BC">
      <w:r>
        <w:separator/>
      </w:r>
    </w:p>
  </w:endnote>
  <w:endnote w:type="continuationSeparator" w:id="0">
    <w:p w:rsidR="00F826A7" w:rsidRDefault="00F826A7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6A7" w:rsidRDefault="00F826A7" w:rsidP="001653BC">
      <w:r>
        <w:separator/>
      </w:r>
    </w:p>
  </w:footnote>
  <w:footnote w:type="continuationSeparator" w:id="0">
    <w:p w:rsidR="00F826A7" w:rsidRDefault="00F826A7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389A"/>
    <w:rsid w:val="00000125"/>
    <w:rsid w:val="00001042"/>
    <w:rsid w:val="00006F70"/>
    <w:rsid w:val="00010A54"/>
    <w:rsid w:val="000151A5"/>
    <w:rsid w:val="0001593E"/>
    <w:rsid w:val="000177E9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93843"/>
    <w:rsid w:val="000A13DA"/>
    <w:rsid w:val="000B4CE7"/>
    <w:rsid w:val="000C260B"/>
    <w:rsid w:val="000C2824"/>
    <w:rsid w:val="000C4BEB"/>
    <w:rsid w:val="000D0723"/>
    <w:rsid w:val="000E0EED"/>
    <w:rsid w:val="000E12C2"/>
    <w:rsid w:val="000E6643"/>
    <w:rsid w:val="000E6F78"/>
    <w:rsid w:val="000E7ED4"/>
    <w:rsid w:val="000F043C"/>
    <w:rsid w:val="000F46E6"/>
    <w:rsid w:val="00100434"/>
    <w:rsid w:val="00102CA7"/>
    <w:rsid w:val="00106A63"/>
    <w:rsid w:val="00106EE7"/>
    <w:rsid w:val="00126965"/>
    <w:rsid w:val="00143B81"/>
    <w:rsid w:val="0014405E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93AE1"/>
    <w:rsid w:val="001A19DE"/>
    <w:rsid w:val="001A3C7C"/>
    <w:rsid w:val="001B00E1"/>
    <w:rsid w:val="001B173F"/>
    <w:rsid w:val="001B36AF"/>
    <w:rsid w:val="001B6E0B"/>
    <w:rsid w:val="001C1386"/>
    <w:rsid w:val="001C2427"/>
    <w:rsid w:val="001C7660"/>
    <w:rsid w:val="001D136C"/>
    <w:rsid w:val="001D487B"/>
    <w:rsid w:val="001E0669"/>
    <w:rsid w:val="001E5742"/>
    <w:rsid w:val="001F3DBC"/>
    <w:rsid w:val="00200690"/>
    <w:rsid w:val="00221418"/>
    <w:rsid w:val="00232EBD"/>
    <w:rsid w:val="002343D6"/>
    <w:rsid w:val="002374FA"/>
    <w:rsid w:val="00242C1D"/>
    <w:rsid w:val="00245813"/>
    <w:rsid w:val="00254BEC"/>
    <w:rsid w:val="0026053E"/>
    <w:rsid w:val="002622A4"/>
    <w:rsid w:val="0026519D"/>
    <w:rsid w:val="00280E47"/>
    <w:rsid w:val="00280ECD"/>
    <w:rsid w:val="00291207"/>
    <w:rsid w:val="00291507"/>
    <w:rsid w:val="00292C46"/>
    <w:rsid w:val="002A0623"/>
    <w:rsid w:val="002A2C47"/>
    <w:rsid w:val="002A40D0"/>
    <w:rsid w:val="002A72FD"/>
    <w:rsid w:val="002B7EA7"/>
    <w:rsid w:val="002E366C"/>
    <w:rsid w:val="002E3F71"/>
    <w:rsid w:val="002E7EEE"/>
    <w:rsid w:val="002E7FA8"/>
    <w:rsid w:val="003069F7"/>
    <w:rsid w:val="0031360E"/>
    <w:rsid w:val="00314E0E"/>
    <w:rsid w:val="003215F0"/>
    <w:rsid w:val="00326861"/>
    <w:rsid w:val="00327070"/>
    <w:rsid w:val="00331BD2"/>
    <w:rsid w:val="00332DF4"/>
    <w:rsid w:val="003335D6"/>
    <w:rsid w:val="003367A6"/>
    <w:rsid w:val="00342805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5C82"/>
    <w:rsid w:val="003960FD"/>
    <w:rsid w:val="003A5FA2"/>
    <w:rsid w:val="003B547F"/>
    <w:rsid w:val="003B6149"/>
    <w:rsid w:val="003B6706"/>
    <w:rsid w:val="003B78B5"/>
    <w:rsid w:val="003C037D"/>
    <w:rsid w:val="003C1EC1"/>
    <w:rsid w:val="003D70DD"/>
    <w:rsid w:val="003E3C67"/>
    <w:rsid w:val="003F4902"/>
    <w:rsid w:val="003F6EC4"/>
    <w:rsid w:val="00403F23"/>
    <w:rsid w:val="00405FB6"/>
    <w:rsid w:val="00406252"/>
    <w:rsid w:val="00411845"/>
    <w:rsid w:val="00416CB3"/>
    <w:rsid w:val="004206CF"/>
    <w:rsid w:val="004248A6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48B5"/>
    <w:rsid w:val="00496D41"/>
    <w:rsid w:val="004A4067"/>
    <w:rsid w:val="004B0998"/>
    <w:rsid w:val="004B3B83"/>
    <w:rsid w:val="004B4E7D"/>
    <w:rsid w:val="004C6C9A"/>
    <w:rsid w:val="004D40AC"/>
    <w:rsid w:val="004D4DBA"/>
    <w:rsid w:val="004E1D2F"/>
    <w:rsid w:val="004E41BE"/>
    <w:rsid w:val="004E5628"/>
    <w:rsid w:val="004F4002"/>
    <w:rsid w:val="004F710F"/>
    <w:rsid w:val="00500309"/>
    <w:rsid w:val="00511F16"/>
    <w:rsid w:val="00527782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2753"/>
    <w:rsid w:val="00585013"/>
    <w:rsid w:val="00587976"/>
    <w:rsid w:val="0059399D"/>
    <w:rsid w:val="00595D2B"/>
    <w:rsid w:val="005A1458"/>
    <w:rsid w:val="005A75FB"/>
    <w:rsid w:val="005C28F3"/>
    <w:rsid w:val="005C36B9"/>
    <w:rsid w:val="005C72AD"/>
    <w:rsid w:val="005C7A3D"/>
    <w:rsid w:val="005D341D"/>
    <w:rsid w:val="005D4030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45CAE"/>
    <w:rsid w:val="0066063E"/>
    <w:rsid w:val="00661968"/>
    <w:rsid w:val="00663122"/>
    <w:rsid w:val="006645EA"/>
    <w:rsid w:val="00667A17"/>
    <w:rsid w:val="00671267"/>
    <w:rsid w:val="00671F64"/>
    <w:rsid w:val="00677C0B"/>
    <w:rsid w:val="0068124D"/>
    <w:rsid w:val="00683311"/>
    <w:rsid w:val="0068718A"/>
    <w:rsid w:val="0069681F"/>
    <w:rsid w:val="006A1AAE"/>
    <w:rsid w:val="006B3727"/>
    <w:rsid w:val="006C03E9"/>
    <w:rsid w:val="006D3365"/>
    <w:rsid w:val="006D376A"/>
    <w:rsid w:val="006E7BCF"/>
    <w:rsid w:val="006F42EA"/>
    <w:rsid w:val="006F5248"/>
    <w:rsid w:val="006F6B8D"/>
    <w:rsid w:val="0070019A"/>
    <w:rsid w:val="0070316B"/>
    <w:rsid w:val="007054BE"/>
    <w:rsid w:val="0072040C"/>
    <w:rsid w:val="007264F3"/>
    <w:rsid w:val="00730DE4"/>
    <w:rsid w:val="00741F52"/>
    <w:rsid w:val="00744ACD"/>
    <w:rsid w:val="0076389A"/>
    <w:rsid w:val="00764D84"/>
    <w:rsid w:val="0077029D"/>
    <w:rsid w:val="00770F89"/>
    <w:rsid w:val="007767BD"/>
    <w:rsid w:val="00777F90"/>
    <w:rsid w:val="00780467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077E"/>
    <w:rsid w:val="008657D5"/>
    <w:rsid w:val="0088401F"/>
    <w:rsid w:val="008954E4"/>
    <w:rsid w:val="008A14EB"/>
    <w:rsid w:val="008A5A59"/>
    <w:rsid w:val="008A741B"/>
    <w:rsid w:val="008B3932"/>
    <w:rsid w:val="008B655F"/>
    <w:rsid w:val="008B6DE8"/>
    <w:rsid w:val="008B7E0B"/>
    <w:rsid w:val="008C4531"/>
    <w:rsid w:val="008E08C6"/>
    <w:rsid w:val="008F1F3E"/>
    <w:rsid w:val="008F3E1E"/>
    <w:rsid w:val="0090137E"/>
    <w:rsid w:val="0091084B"/>
    <w:rsid w:val="009144DE"/>
    <w:rsid w:val="00920DBC"/>
    <w:rsid w:val="009220A5"/>
    <w:rsid w:val="009251D6"/>
    <w:rsid w:val="009273EF"/>
    <w:rsid w:val="009407EA"/>
    <w:rsid w:val="00941F84"/>
    <w:rsid w:val="00945041"/>
    <w:rsid w:val="00946DE7"/>
    <w:rsid w:val="009529E8"/>
    <w:rsid w:val="0095304E"/>
    <w:rsid w:val="009601BB"/>
    <w:rsid w:val="00961599"/>
    <w:rsid w:val="00963949"/>
    <w:rsid w:val="0098138A"/>
    <w:rsid w:val="00986B12"/>
    <w:rsid w:val="00991E20"/>
    <w:rsid w:val="009A04FF"/>
    <w:rsid w:val="009A18C8"/>
    <w:rsid w:val="009A3EFE"/>
    <w:rsid w:val="009A7887"/>
    <w:rsid w:val="009B26F0"/>
    <w:rsid w:val="009B4996"/>
    <w:rsid w:val="009B6B23"/>
    <w:rsid w:val="009B723D"/>
    <w:rsid w:val="009C0D70"/>
    <w:rsid w:val="009C5BD7"/>
    <w:rsid w:val="009C6DB6"/>
    <w:rsid w:val="009C7A56"/>
    <w:rsid w:val="009E070D"/>
    <w:rsid w:val="009E4CAE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5402D"/>
    <w:rsid w:val="00A76A43"/>
    <w:rsid w:val="00A918E3"/>
    <w:rsid w:val="00A936FF"/>
    <w:rsid w:val="00AA3240"/>
    <w:rsid w:val="00AA7A3A"/>
    <w:rsid w:val="00AB1AFC"/>
    <w:rsid w:val="00AB5084"/>
    <w:rsid w:val="00AB605C"/>
    <w:rsid w:val="00AC6361"/>
    <w:rsid w:val="00AD70E4"/>
    <w:rsid w:val="00AE5AE4"/>
    <w:rsid w:val="00AF4C31"/>
    <w:rsid w:val="00B01BA1"/>
    <w:rsid w:val="00B02D73"/>
    <w:rsid w:val="00B159C7"/>
    <w:rsid w:val="00B216E9"/>
    <w:rsid w:val="00B252C9"/>
    <w:rsid w:val="00B34982"/>
    <w:rsid w:val="00B3528D"/>
    <w:rsid w:val="00B44525"/>
    <w:rsid w:val="00B71012"/>
    <w:rsid w:val="00B91F05"/>
    <w:rsid w:val="00B92A80"/>
    <w:rsid w:val="00BA07A8"/>
    <w:rsid w:val="00BA1A63"/>
    <w:rsid w:val="00BA330F"/>
    <w:rsid w:val="00BA6628"/>
    <w:rsid w:val="00BB174C"/>
    <w:rsid w:val="00BC4505"/>
    <w:rsid w:val="00BC5280"/>
    <w:rsid w:val="00BD3C11"/>
    <w:rsid w:val="00BE01E2"/>
    <w:rsid w:val="00BE559A"/>
    <w:rsid w:val="00BE5B6D"/>
    <w:rsid w:val="00BF4D93"/>
    <w:rsid w:val="00C01617"/>
    <w:rsid w:val="00C0343F"/>
    <w:rsid w:val="00C0363B"/>
    <w:rsid w:val="00C07074"/>
    <w:rsid w:val="00C14479"/>
    <w:rsid w:val="00C1746D"/>
    <w:rsid w:val="00C26264"/>
    <w:rsid w:val="00C316AF"/>
    <w:rsid w:val="00C31F9D"/>
    <w:rsid w:val="00C3332C"/>
    <w:rsid w:val="00C458FB"/>
    <w:rsid w:val="00C46E6F"/>
    <w:rsid w:val="00C51D7E"/>
    <w:rsid w:val="00C51F00"/>
    <w:rsid w:val="00C6796A"/>
    <w:rsid w:val="00C7377A"/>
    <w:rsid w:val="00C76720"/>
    <w:rsid w:val="00C805CB"/>
    <w:rsid w:val="00C84A40"/>
    <w:rsid w:val="00C92100"/>
    <w:rsid w:val="00C9274C"/>
    <w:rsid w:val="00CA14B4"/>
    <w:rsid w:val="00CA2B6A"/>
    <w:rsid w:val="00CA4AAA"/>
    <w:rsid w:val="00CA5347"/>
    <w:rsid w:val="00CA5F15"/>
    <w:rsid w:val="00CB2DD4"/>
    <w:rsid w:val="00CB3F9C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5711D"/>
    <w:rsid w:val="00D66D9B"/>
    <w:rsid w:val="00D71E77"/>
    <w:rsid w:val="00D8106B"/>
    <w:rsid w:val="00D92B54"/>
    <w:rsid w:val="00D930A1"/>
    <w:rsid w:val="00D96103"/>
    <w:rsid w:val="00D96CA4"/>
    <w:rsid w:val="00DA0115"/>
    <w:rsid w:val="00DA266C"/>
    <w:rsid w:val="00DB09FF"/>
    <w:rsid w:val="00DB3E70"/>
    <w:rsid w:val="00DE009E"/>
    <w:rsid w:val="00DE4CDF"/>
    <w:rsid w:val="00DE4D58"/>
    <w:rsid w:val="00DE5446"/>
    <w:rsid w:val="00DF3EE6"/>
    <w:rsid w:val="00DF6E9B"/>
    <w:rsid w:val="00DF7621"/>
    <w:rsid w:val="00E03816"/>
    <w:rsid w:val="00E0414D"/>
    <w:rsid w:val="00E0486D"/>
    <w:rsid w:val="00E11B12"/>
    <w:rsid w:val="00E132E1"/>
    <w:rsid w:val="00E134BB"/>
    <w:rsid w:val="00E13607"/>
    <w:rsid w:val="00E17A40"/>
    <w:rsid w:val="00E23E8A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36BC"/>
    <w:rsid w:val="00E95C87"/>
    <w:rsid w:val="00E97877"/>
    <w:rsid w:val="00EB1BEC"/>
    <w:rsid w:val="00EB4099"/>
    <w:rsid w:val="00EB68B4"/>
    <w:rsid w:val="00EC0DFB"/>
    <w:rsid w:val="00EC6A5A"/>
    <w:rsid w:val="00ED0BB8"/>
    <w:rsid w:val="00ED56A0"/>
    <w:rsid w:val="00EE0434"/>
    <w:rsid w:val="00EE35D0"/>
    <w:rsid w:val="00EE5781"/>
    <w:rsid w:val="00EF452B"/>
    <w:rsid w:val="00F00EFB"/>
    <w:rsid w:val="00F018E7"/>
    <w:rsid w:val="00F02A70"/>
    <w:rsid w:val="00F02B67"/>
    <w:rsid w:val="00F037A1"/>
    <w:rsid w:val="00F10D7D"/>
    <w:rsid w:val="00F153DC"/>
    <w:rsid w:val="00F1686F"/>
    <w:rsid w:val="00F17501"/>
    <w:rsid w:val="00F20A44"/>
    <w:rsid w:val="00F238F5"/>
    <w:rsid w:val="00F23900"/>
    <w:rsid w:val="00F258C0"/>
    <w:rsid w:val="00F33744"/>
    <w:rsid w:val="00F36CB1"/>
    <w:rsid w:val="00F37164"/>
    <w:rsid w:val="00F41025"/>
    <w:rsid w:val="00F414D9"/>
    <w:rsid w:val="00F43FB6"/>
    <w:rsid w:val="00F54A95"/>
    <w:rsid w:val="00F557D7"/>
    <w:rsid w:val="00F562B5"/>
    <w:rsid w:val="00F573AB"/>
    <w:rsid w:val="00F61C1F"/>
    <w:rsid w:val="00F709D4"/>
    <w:rsid w:val="00F70BD3"/>
    <w:rsid w:val="00F71C9C"/>
    <w:rsid w:val="00F8019C"/>
    <w:rsid w:val="00F80210"/>
    <w:rsid w:val="00F81AFB"/>
    <w:rsid w:val="00F826A7"/>
    <w:rsid w:val="00F91D2C"/>
    <w:rsid w:val="00F953B0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779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link w:val="ConsPlusNormal0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Normal (Web)"/>
    <w:basedOn w:val="a"/>
    <w:uiPriority w:val="99"/>
    <w:rsid w:val="004248A6"/>
    <w:pPr>
      <w:spacing w:before="100" w:after="119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C31F9D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057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92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38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2305-ADA2-4451-B203-C2D1AB47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11779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91</cp:revision>
  <cp:lastPrinted>2020-10-30T12:33:00Z</cp:lastPrinted>
  <dcterms:created xsi:type="dcterms:W3CDTF">2017-05-24T06:35:00Z</dcterms:created>
  <dcterms:modified xsi:type="dcterms:W3CDTF">2021-11-12T11:29:00Z</dcterms:modified>
</cp:coreProperties>
</file>