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21"/>
        <w:gridCol w:w="1099"/>
      </w:tblGrid>
      <w:tr w:rsidR="00D015D9" w:rsidRPr="00B65F1F" w:rsidTr="00D015D9"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5D9" w:rsidRPr="00D015D9" w:rsidRDefault="00D015D9" w:rsidP="00D015D9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8220FC" w:rsidRPr="00B65F1F" w:rsidTr="00D015D9">
        <w:tc>
          <w:tcPr>
            <w:tcW w:w="100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20FC" w:rsidRPr="00F15AC1" w:rsidRDefault="008220FC" w:rsidP="00F15A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50FB">
              <w:rPr>
                <w:b/>
                <w:sz w:val="22"/>
                <w:szCs w:val="22"/>
              </w:rPr>
              <w:t xml:space="preserve">Описание объекта закупки и основные условия исполнения </w:t>
            </w:r>
            <w:r w:rsidR="00F15AC1">
              <w:rPr>
                <w:b/>
                <w:sz w:val="22"/>
                <w:szCs w:val="22"/>
              </w:rPr>
              <w:t>контракта</w:t>
            </w:r>
          </w:p>
        </w:tc>
      </w:tr>
      <w:tr w:rsidR="005C4732" w:rsidRPr="00B65F1F" w:rsidTr="00D015D9">
        <w:tc>
          <w:tcPr>
            <w:tcW w:w="2410" w:type="dxa"/>
            <w:shd w:val="clear" w:color="auto" w:fill="auto"/>
          </w:tcPr>
          <w:p w:rsidR="005C4732" w:rsidRPr="00AA48C2" w:rsidRDefault="005C4732" w:rsidP="003B0834">
            <w:pPr>
              <w:spacing w:before="120" w:after="120"/>
              <w:rPr>
                <w:b/>
                <w:sz w:val="22"/>
                <w:szCs w:val="22"/>
              </w:rPr>
            </w:pPr>
            <w:r w:rsidRPr="00AA48C2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5C4732" w:rsidRPr="0061239D" w:rsidRDefault="0066134C" w:rsidP="0008670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 xml:space="preserve">Выполнение работ по изготовлению </w:t>
            </w:r>
            <w:r w:rsidR="00E80C5B" w:rsidRPr="0061239D">
              <w:rPr>
                <w:sz w:val="22"/>
                <w:szCs w:val="22"/>
              </w:rPr>
              <w:t>протез</w:t>
            </w:r>
            <w:r w:rsidR="00E16401">
              <w:rPr>
                <w:sz w:val="22"/>
                <w:szCs w:val="22"/>
              </w:rPr>
              <w:t>ов</w:t>
            </w:r>
            <w:r w:rsidR="00E80C5B" w:rsidRPr="0061239D">
              <w:rPr>
                <w:sz w:val="22"/>
                <w:szCs w:val="22"/>
              </w:rPr>
              <w:t xml:space="preserve"> </w:t>
            </w:r>
            <w:r w:rsidR="00086700">
              <w:rPr>
                <w:sz w:val="22"/>
                <w:szCs w:val="22"/>
              </w:rPr>
              <w:t>верхних конечностей</w:t>
            </w:r>
            <w:r w:rsidR="002C0A97">
              <w:rPr>
                <w:sz w:val="22"/>
                <w:szCs w:val="22"/>
              </w:rPr>
              <w:t xml:space="preserve"> </w:t>
            </w:r>
            <w:r w:rsidRPr="0061239D">
              <w:rPr>
                <w:sz w:val="22"/>
                <w:szCs w:val="22"/>
              </w:rPr>
              <w:t>для застрахованн</w:t>
            </w:r>
            <w:r w:rsidR="002C0A97">
              <w:rPr>
                <w:sz w:val="22"/>
                <w:szCs w:val="22"/>
              </w:rPr>
              <w:t>ого</w:t>
            </w:r>
            <w:r w:rsidRPr="0061239D">
              <w:rPr>
                <w:sz w:val="22"/>
                <w:szCs w:val="22"/>
              </w:rPr>
              <w:t xml:space="preserve"> лиц</w:t>
            </w:r>
            <w:r w:rsidR="002C0A97">
              <w:rPr>
                <w:sz w:val="22"/>
                <w:szCs w:val="22"/>
              </w:rPr>
              <w:t>а</w:t>
            </w:r>
            <w:r w:rsidRPr="0061239D">
              <w:rPr>
                <w:sz w:val="22"/>
                <w:szCs w:val="22"/>
              </w:rPr>
              <w:t>, получивш</w:t>
            </w:r>
            <w:r w:rsidR="002C0A97">
              <w:rPr>
                <w:sz w:val="22"/>
                <w:szCs w:val="22"/>
              </w:rPr>
              <w:t>его</w:t>
            </w:r>
            <w:r w:rsidRPr="0061239D">
              <w:rPr>
                <w:sz w:val="22"/>
                <w:szCs w:val="22"/>
              </w:rPr>
              <w:t xml:space="preserve"> повреждение здоровья вследствие несчастн</w:t>
            </w:r>
            <w:r w:rsidR="002C0A97">
              <w:rPr>
                <w:sz w:val="22"/>
                <w:szCs w:val="22"/>
              </w:rPr>
              <w:t>ого</w:t>
            </w:r>
            <w:r w:rsidRPr="0061239D">
              <w:rPr>
                <w:sz w:val="22"/>
                <w:szCs w:val="22"/>
              </w:rPr>
              <w:t xml:space="preserve"> случа</w:t>
            </w:r>
            <w:r w:rsidR="002C0A97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на производстве</w:t>
            </w:r>
            <w:r w:rsidR="005A60F1" w:rsidRPr="0061239D">
              <w:rPr>
                <w:sz w:val="22"/>
                <w:szCs w:val="22"/>
              </w:rPr>
              <w:t>.</w:t>
            </w:r>
            <w:r w:rsidRPr="0061239D">
              <w:rPr>
                <w:sz w:val="22"/>
                <w:szCs w:val="22"/>
              </w:rPr>
              <w:t xml:space="preserve"> </w:t>
            </w:r>
          </w:p>
        </w:tc>
      </w:tr>
      <w:tr w:rsidR="009D4D0C" w:rsidRPr="00B65F1F" w:rsidTr="00D015D9">
        <w:trPr>
          <w:trHeight w:val="1009"/>
        </w:trPr>
        <w:tc>
          <w:tcPr>
            <w:tcW w:w="2410" w:type="dxa"/>
            <w:shd w:val="clear" w:color="auto" w:fill="auto"/>
          </w:tcPr>
          <w:p w:rsidR="009D4D0C" w:rsidRPr="00AA48C2" w:rsidRDefault="009D4D0C" w:rsidP="009D4D0C">
            <w:pPr>
              <w:rPr>
                <w:b/>
                <w:sz w:val="22"/>
                <w:szCs w:val="22"/>
              </w:rPr>
            </w:pPr>
            <w:r w:rsidRPr="00AA48C2">
              <w:rPr>
                <w:b/>
                <w:sz w:val="22"/>
                <w:szCs w:val="22"/>
              </w:rPr>
              <w:t>Место выполнения работ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E6286A" w:rsidRPr="00595C91" w:rsidRDefault="00E6286A" w:rsidP="00E6286A">
            <w:pPr>
              <w:widowControl w:val="0"/>
              <w:jc w:val="both"/>
              <w:rPr>
                <w:sz w:val="22"/>
                <w:szCs w:val="22"/>
              </w:rPr>
            </w:pPr>
            <w:r w:rsidRPr="00595C91">
              <w:rPr>
                <w:sz w:val="22"/>
                <w:szCs w:val="22"/>
              </w:rPr>
              <w:t xml:space="preserve">Место выполнения работ: </w:t>
            </w:r>
          </w:p>
          <w:p w:rsidR="00E6286A" w:rsidRPr="00595C91" w:rsidRDefault="00E6286A" w:rsidP="00E6286A">
            <w:pPr>
              <w:widowControl w:val="0"/>
              <w:jc w:val="both"/>
              <w:rPr>
                <w:sz w:val="22"/>
                <w:szCs w:val="22"/>
              </w:rPr>
            </w:pPr>
            <w:r w:rsidRPr="00595C91">
              <w:rPr>
                <w:sz w:val="22"/>
                <w:szCs w:val="22"/>
              </w:rPr>
              <w:t>снятие мерок, индивидуальных слепков, примерка (при необходимости повторные примерки), обучение пользованию Издели</w:t>
            </w:r>
            <w:r w:rsidR="00D63FAE">
              <w:rPr>
                <w:sz w:val="22"/>
                <w:szCs w:val="22"/>
              </w:rPr>
              <w:t>ями</w:t>
            </w:r>
            <w:r w:rsidRPr="00595C91">
              <w:rPr>
                <w:sz w:val="22"/>
                <w:szCs w:val="22"/>
              </w:rPr>
              <w:t>, передача готов</w:t>
            </w:r>
            <w:r w:rsidR="00D63FAE">
              <w:rPr>
                <w:sz w:val="22"/>
                <w:szCs w:val="22"/>
              </w:rPr>
              <w:t>ых</w:t>
            </w:r>
            <w:r w:rsidRPr="00595C91">
              <w:rPr>
                <w:sz w:val="22"/>
                <w:szCs w:val="22"/>
              </w:rPr>
              <w:t xml:space="preserve"> Издели</w:t>
            </w:r>
            <w:r w:rsidR="00D63FAE">
              <w:rPr>
                <w:sz w:val="22"/>
                <w:szCs w:val="22"/>
              </w:rPr>
              <w:t>й</w:t>
            </w:r>
            <w:r w:rsidRPr="00595C91">
              <w:rPr>
                <w:sz w:val="22"/>
                <w:szCs w:val="22"/>
              </w:rPr>
              <w:t xml:space="preserve"> Получателю - в пунктах приема Исполнителя на территории города Саратова;</w:t>
            </w:r>
          </w:p>
          <w:p w:rsidR="00E6286A" w:rsidRPr="00595C91" w:rsidRDefault="00E6286A" w:rsidP="00E6286A">
            <w:pPr>
              <w:widowControl w:val="0"/>
              <w:jc w:val="both"/>
              <w:rPr>
                <w:rFonts w:eastAsia="Lucida Sans Unicode"/>
                <w:b/>
                <w:sz w:val="22"/>
                <w:szCs w:val="22"/>
                <w:lang w:bidi="en-US"/>
              </w:rPr>
            </w:pPr>
            <w:r w:rsidRPr="00595C91">
              <w:rPr>
                <w:sz w:val="22"/>
                <w:szCs w:val="22"/>
              </w:rPr>
              <w:t>изготовление Изделий – по месту нахождения Исполнителя.</w:t>
            </w:r>
          </w:p>
          <w:p w:rsidR="009D4D0C" w:rsidRPr="003E0835" w:rsidRDefault="00E6286A" w:rsidP="00D63FAE">
            <w:pPr>
              <w:widowControl w:val="0"/>
              <w:jc w:val="both"/>
              <w:rPr>
                <w:sz w:val="22"/>
                <w:szCs w:val="22"/>
              </w:rPr>
            </w:pPr>
            <w:r w:rsidRPr="00595C91">
              <w:rPr>
                <w:sz w:val="22"/>
                <w:szCs w:val="22"/>
              </w:rPr>
              <w:t>При необходимости: по заявке Получателя или Заказчика – снятие мерок, индивидуальных слепков, примерка (при необходимости повторные примерки), обучение пользованию Издели</w:t>
            </w:r>
            <w:r w:rsidR="00D63FAE">
              <w:rPr>
                <w:sz w:val="22"/>
                <w:szCs w:val="22"/>
              </w:rPr>
              <w:t>ями</w:t>
            </w:r>
            <w:r w:rsidRPr="00595C91">
              <w:rPr>
                <w:sz w:val="22"/>
                <w:szCs w:val="22"/>
              </w:rPr>
              <w:t>, передача готов</w:t>
            </w:r>
            <w:r w:rsidR="00D63FAE">
              <w:rPr>
                <w:sz w:val="22"/>
                <w:szCs w:val="22"/>
              </w:rPr>
              <w:t>ых</w:t>
            </w:r>
            <w:r w:rsidRPr="00595C91">
              <w:rPr>
                <w:sz w:val="22"/>
                <w:szCs w:val="22"/>
              </w:rPr>
              <w:t xml:space="preserve"> Издели</w:t>
            </w:r>
            <w:r w:rsidR="00D63FAE">
              <w:rPr>
                <w:sz w:val="22"/>
                <w:szCs w:val="22"/>
              </w:rPr>
              <w:t>й</w:t>
            </w:r>
            <w:r w:rsidRPr="00595C91">
              <w:rPr>
                <w:sz w:val="22"/>
                <w:szCs w:val="22"/>
              </w:rPr>
              <w:t xml:space="preserve"> – по месту жительства Получателя на территории г. Саратова</w:t>
            </w:r>
            <w:r w:rsidR="009D4D0C" w:rsidRPr="003E0835">
              <w:rPr>
                <w:sz w:val="22"/>
                <w:szCs w:val="22"/>
              </w:rPr>
              <w:t>.</w:t>
            </w:r>
          </w:p>
        </w:tc>
      </w:tr>
      <w:tr w:rsidR="009D4D0C" w:rsidRPr="00B65F1F" w:rsidTr="00D015D9">
        <w:tc>
          <w:tcPr>
            <w:tcW w:w="2410" w:type="dxa"/>
            <w:shd w:val="clear" w:color="auto" w:fill="auto"/>
          </w:tcPr>
          <w:p w:rsidR="009D4D0C" w:rsidRPr="00B65F1F" w:rsidRDefault="009D4D0C" w:rsidP="009D4D0C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 xml:space="preserve">Порядок </w:t>
            </w:r>
            <w:r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9D4D0C" w:rsidRPr="0061239D" w:rsidRDefault="009D4D0C" w:rsidP="009D4D0C">
            <w:pPr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Исполнитель обязан выполнить своими силами работы, включающие в себя: снятие мерок, изготовление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, примерку (при необходимости повторные примерки), обучение пользованию </w:t>
            </w:r>
            <w:r w:rsidR="00E16401">
              <w:rPr>
                <w:sz w:val="22"/>
                <w:szCs w:val="22"/>
              </w:rPr>
              <w:t>И</w:t>
            </w:r>
            <w:r w:rsidRPr="0061239D">
              <w:rPr>
                <w:sz w:val="22"/>
                <w:szCs w:val="22"/>
              </w:rPr>
              <w:t>здели</w:t>
            </w:r>
            <w:r w:rsidR="00E16401">
              <w:rPr>
                <w:sz w:val="22"/>
                <w:szCs w:val="22"/>
              </w:rPr>
              <w:t>ями</w:t>
            </w:r>
            <w:r w:rsidRPr="0061239D">
              <w:rPr>
                <w:sz w:val="22"/>
                <w:szCs w:val="22"/>
              </w:rPr>
              <w:t>, выдачу готов</w:t>
            </w:r>
            <w:r w:rsidR="00E16401">
              <w:rPr>
                <w:sz w:val="22"/>
                <w:szCs w:val="22"/>
              </w:rPr>
              <w:t>ых</w:t>
            </w:r>
            <w:r w:rsidRPr="0061239D">
              <w:rPr>
                <w:sz w:val="22"/>
                <w:szCs w:val="22"/>
              </w:rPr>
              <w:t xml:space="preserve">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 Получателю</w:t>
            </w:r>
            <w:r w:rsidR="00E16401">
              <w:rPr>
                <w:sz w:val="22"/>
                <w:szCs w:val="22"/>
              </w:rPr>
              <w:t xml:space="preserve"> (представителю П</w:t>
            </w:r>
            <w:r w:rsidR="006A6AAC">
              <w:rPr>
                <w:sz w:val="22"/>
                <w:szCs w:val="22"/>
              </w:rPr>
              <w:t>о</w:t>
            </w:r>
            <w:r w:rsidR="00E16401">
              <w:rPr>
                <w:sz w:val="22"/>
                <w:szCs w:val="22"/>
              </w:rPr>
              <w:t>лучателя)</w:t>
            </w:r>
            <w:r w:rsidRPr="0061239D">
              <w:rPr>
                <w:sz w:val="22"/>
                <w:szCs w:val="22"/>
              </w:rPr>
              <w:t xml:space="preserve">, с оформлением необходимой документации. 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Выполнить работы по изготовлению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 по индивидуальным размерам Получателя и в зависимости от вида имеющейся патологии, выдать Издели</w:t>
            </w:r>
            <w:r w:rsidR="00E16401"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>, провести обучение пользованию Издели</w:t>
            </w:r>
            <w:r w:rsidR="00E16401">
              <w:rPr>
                <w:sz w:val="22"/>
                <w:szCs w:val="22"/>
              </w:rPr>
              <w:t>ями</w:t>
            </w:r>
            <w:r w:rsidRPr="0061239D">
              <w:rPr>
                <w:sz w:val="22"/>
                <w:szCs w:val="22"/>
              </w:rPr>
              <w:t>.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Давать справки Получател</w:t>
            </w:r>
            <w:r>
              <w:rPr>
                <w:sz w:val="22"/>
                <w:szCs w:val="22"/>
              </w:rPr>
              <w:t>ю</w:t>
            </w:r>
            <w:r w:rsidRPr="0061239D">
              <w:rPr>
                <w:sz w:val="22"/>
                <w:szCs w:val="22"/>
              </w:rPr>
              <w:t xml:space="preserve"> </w:t>
            </w:r>
            <w:r w:rsidR="00E16401">
              <w:rPr>
                <w:sz w:val="22"/>
                <w:szCs w:val="22"/>
              </w:rPr>
              <w:t xml:space="preserve">(представителю Получателя) </w:t>
            </w:r>
            <w:r w:rsidRPr="0061239D">
              <w:rPr>
                <w:sz w:val="22"/>
                <w:szCs w:val="22"/>
              </w:rPr>
              <w:t>по вопросам, связанным с изготовлением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 xml:space="preserve">. 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Осуществлять прием Получател</w:t>
            </w:r>
            <w:r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при представлении им документа</w:t>
            </w:r>
            <w:r w:rsidRPr="0061239D">
              <w:rPr>
                <w:bCs/>
                <w:sz w:val="22"/>
                <w:szCs w:val="22"/>
              </w:rPr>
              <w:t xml:space="preserve">, удостоверяющего личность Получателя либо его законного представителя, а также документа, подтверждающего полномочия представителя, </w:t>
            </w:r>
            <w:r w:rsidRPr="0061239D">
              <w:rPr>
                <w:sz w:val="22"/>
                <w:szCs w:val="22"/>
              </w:rPr>
              <w:t>и направления Заказчика.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Осуществлять прием Получател</w:t>
            </w:r>
            <w:r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</w:t>
            </w:r>
            <w:r w:rsidR="00E16401">
              <w:rPr>
                <w:sz w:val="22"/>
                <w:szCs w:val="22"/>
              </w:rPr>
              <w:t xml:space="preserve">(представителя Получателя) </w:t>
            </w:r>
            <w:r w:rsidRPr="0061239D">
              <w:rPr>
                <w:sz w:val="22"/>
                <w:szCs w:val="22"/>
              </w:rPr>
              <w:t>по вопросам, касающимся изготовления и выдачи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>, гарантийного ремонта Издели</w:t>
            </w:r>
            <w:r w:rsidR="00E16401">
              <w:rPr>
                <w:sz w:val="22"/>
                <w:szCs w:val="22"/>
              </w:rPr>
              <w:t>й</w:t>
            </w:r>
            <w:r w:rsidRPr="0061239D">
              <w:rPr>
                <w:sz w:val="22"/>
                <w:szCs w:val="22"/>
              </w:rPr>
              <w:t>, в пункт</w:t>
            </w:r>
            <w:r w:rsidR="00E16401">
              <w:rPr>
                <w:sz w:val="22"/>
                <w:szCs w:val="22"/>
              </w:rPr>
              <w:t>ах</w:t>
            </w:r>
            <w:r w:rsidRPr="0061239D">
              <w:rPr>
                <w:sz w:val="22"/>
                <w:szCs w:val="22"/>
              </w:rPr>
              <w:t xml:space="preserve"> приема</w:t>
            </w:r>
            <w:r>
              <w:rPr>
                <w:sz w:val="22"/>
                <w:szCs w:val="22"/>
              </w:rPr>
              <w:t xml:space="preserve"> Исполнителя</w:t>
            </w:r>
            <w:r w:rsidRPr="0061239D">
              <w:rPr>
                <w:sz w:val="22"/>
                <w:szCs w:val="22"/>
              </w:rPr>
              <w:t xml:space="preserve">, а при необходимости – по месту фактического проживания (нахождения) Получателя на территории </w:t>
            </w:r>
            <w:r>
              <w:rPr>
                <w:sz w:val="22"/>
                <w:szCs w:val="22"/>
              </w:rPr>
              <w:t xml:space="preserve">города </w:t>
            </w:r>
            <w:r w:rsidRPr="0061239D">
              <w:rPr>
                <w:sz w:val="22"/>
                <w:szCs w:val="22"/>
              </w:rPr>
              <w:t>Саратова.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Проход в помещения для приема и передвижение по ним должны быть беспрепятственны для Получател</w:t>
            </w:r>
            <w:r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. Помещения должны соответствовать санитарным правилам </w:t>
            </w:r>
            <w:r w:rsidRPr="00823CA3">
              <w:rPr>
                <w:rStyle w:val="blk3"/>
                <w:sz w:val="22"/>
                <w:szCs w:val="22"/>
                <w:specVanish w:val="0"/>
              </w:rPr>
              <w:t>СП 59.13330.2020 «Доступность зданий и сооружений для маломобильных групп населения. Актуализированная редакция СНиП 35-01-2001»</w:t>
            </w:r>
            <w:r w:rsidRPr="0061239D">
              <w:rPr>
                <w:sz w:val="22"/>
                <w:szCs w:val="22"/>
              </w:rPr>
              <w:t xml:space="preserve">. 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Прием Получател</w:t>
            </w:r>
            <w:r>
              <w:rPr>
                <w:sz w:val="22"/>
                <w:szCs w:val="22"/>
              </w:rPr>
              <w:t>я</w:t>
            </w:r>
            <w:r w:rsidRPr="0061239D">
              <w:rPr>
                <w:sz w:val="22"/>
                <w:szCs w:val="22"/>
              </w:rPr>
              <w:t xml:space="preserve"> </w:t>
            </w:r>
            <w:r w:rsidR="00E16401">
              <w:rPr>
                <w:sz w:val="22"/>
                <w:szCs w:val="22"/>
              </w:rPr>
              <w:t xml:space="preserve">(представителя Получателя) </w:t>
            </w:r>
            <w:r w:rsidRPr="0061239D">
              <w:rPr>
                <w:sz w:val="22"/>
                <w:szCs w:val="22"/>
              </w:rPr>
              <w:t xml:space="preserve">должен производиться не менее 5 (пяти) дней в неделю, не менее 40 часов в неделю. 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sz w:val="22"/>
                <w:szCs w:val="22"/>
              </w:rPr>
              <w:t>Исполнитель уведомляет Получателя о предстоящей передаче Изделия не позднее, чем за 2 (два) рабочих дня до предполагаемой даты выдачи.</w:t>
            </w:r>
          </w:p>
          <w:p w:rsidR="009D4D0C" w:rsidRPr="0061239D" w:rsidRDefault="009D4D0C" w:rsidP="009D4D0C">
            <w:pPr>
              <w:pStyle w:val="a7"/>
              <w:jc w:val="both"/>
              <w:rPr>
                <w:sz w:val="22"/>
                <w:szCs w:val="22"/>
              </w:rPr>
            </w:pPr>
            <w:r w:rsidRPr="0061239D">
              <w:rPr>
                <w:bCs/>
                <w:sz w:val="22"/>
                <w:szCs w:val="22"/>
              </w:rPr>
              <w:t xml:space="preserve">При выдаче Изделия Получателю </w:t>
            </w:r>
            <w:r>
              <w:rPr>
                <w:bCs/>
                <w:sz w:val="22"/>
                <w:szCs w:val="22"/>
              </w:rPr>
              <w:t xml:space="preserve">(представителю Получателя) </w:t>
            </w:r>
            <w:r w:rsidRPr="0061239D">
              <w:rPr>
                <w:bCs/>
                <w:sz w:val="22"/>
                <w:szCs w:val="22"/>
              </w:rPr>
              <w:t>Исполнитель оформляет Акт сдачи-приемки работ Получателем, который подписывается Исполнителем и Получателем</w:t>
            </w:r>
            <w:r>
              <w:rPr>
                <w:bCs/>
                <w:sz w:val="22"/>
                <w:szCs w:val="22"/>
              </w:rPr>
              <w:t xml:space="preserve"> (представителем Получателя)</w:t>
            </w:r>
            <w:r w:rsidRPr="0061239D">
              <w:rPr>
                <w:bCs/>
                <w:sz w:val="22"/>
                <w:szCs w:val="22"/>
              </w:rPr>
              <w:t>, с обязательным отражением в Акте реквизитов документа, удостоверяющего личность Получателя, либо его законного представителя, а также документа, подтверждающего полномочия представителя.</w:t>
            </w:r>
          </w:p>
        </w:tc>
      </w:tr>
      <w:tr w:rsidR="00542EF0" w:rsidRPr="001D7616" w:rsidTr="00D37198">
        <w:trPr>
          <w:trHeight w:val="737"/>
        </w:trPr>
        <w:tc>
          <w:tcPr>
            <w:tcW w:w="10030" w:type="dxa"/>
            <w:gridSpan w:val="3"/>
            <w:shd w:val="clear" w:color="auto" w:fill="auto"/>
            <w:vAlign w:val="center"/>
          </w:tcPr>
          <w:p w:rsidR="00542EF0" w:rsidRDefault="00542EF0" w:rsidP="008220FC">
            <w:pPr>
              <w:tabs>
                <w:tab w:val="left" w:pos="3178"/>
              </w:tabs>
              <w:jc w:val="center"/>
              <w:rPr>
                <w:sz w:val="22"/>
                <w:szCs w:val="22"/>
              </w:rPr>
            </w:pPr>
            <w:r w:rsidRPr="00542EF0">
              <w:rPr>
                <w:b/>
                <w:sz w:val="22"/>
                <w:szCs w:val="22"/>
              </w:rPr>
              <w:t>Качественные, эксплуатационные, тех</w:t>
            </w:r>
            <w:r>
              <w:rPr>
                <w:b/>
                <w:sz w:val="22"/>
                <w:szCs w:val="22"/>
              </w:rPr>
              <w:t xml:space="preserve">нические характеристики объекта </w:t>
            </w:r>
            <w:r w:rsidRPr="00542EF0">
              <w:rPr>
                <w:b/>
                <w:sz w:val="22"/>
                <w:szCs w:val="22"/>
              </w:rPr>
              <w:t>закупки</w:t>
            </w:r>
          </w:p>
        </w:tc>
      </w:tr>
      <w:tr w:rsidR="0066134C" w:rsidRPr="001D7616" w:rsidTr="00D015D9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:rsidR="0066134C" w:rsidRPr="00F66735" w:rsidRDefault="0066134C" w:rsidP="002D5A4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6735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134C" w:rsidRPr="00F66735" w:rsidRDefault="0066134C" w:rsidP="002D5A48">
            <w:pPr>
              <w:jc w:val="center"/>
              <w:rPr>
                <w:b/>
                <w:sz w:val="22"/>
                <w:szCs w:val="22"/>
              </w:rPr>
            </w:pPr>
            <w:r w:rsidRPr="00F66735"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134C" w:rsidRPr="008F57E6" w:rsidRDefault="0066134C" w:rsidP="000A50FB">
            <w:pPr>
              <w:tabs>
                <w:tab w:val="left" w:pos="3178"/>
              </w:tabs>
              <w:jc w:val="center"/>
              <w:rPr>
                <w:b/>
                <w:sz w:val="22"/>
                <w:szCs w:val="22"/>
              </w:rPr>
            </w:pPr>
            <w:r w:rsidRPr="008F57E6">
              <w:rPr>
                <w:b/>
                <w:sz w:val="22"/>
                <w:szCs w:val="22"/>
              </w:rPr>
              <w:t>Кол- во, шт.</w:t>
            </w:r>
          </w:p>
        </w:tc>
      </w:tr>
      <w:tr w:rsidR="00C61E5E" w:rsidRPr="001D7616" w:rsidTr="006559B3">
        <w:trPr>
          <w:trHeight w:val="51"/>
        </w:trPr>
        <w:tc>
          <w:tcPr>
            <w:tcW w:w="2410" w:type="dxa"/>
            <w:shd w:val="clear" w:color="auto" w:fill="auto"/>
          </w:tcPr>
          <w:p w:rsidR="00C61E5E" w:rsidRPr="00C61E5E" w:rsidRDefault="00C61E5E" w:rsidP="006559B3">
            <w:pPr>
              <w:rPr>
                <w:sz w:val="22"/>
                <w:szCs w:val="22"/>
              </w:rPr>
            </w:pPr>
            <w:r w:rsidRPr="00C61E5E">
              <w:rPr>
                <w:b/>
                <w:color w:val="000000"/>
                <w:sz w:val="22"/>
                <w:szCs w:val="22"/>
                <w:lang w:eastAsia="ru-RU"/>
              </w:rPr>
              <w:t xml:space="preserve">Протез предплечья с микропроцессорным </w:t>
            </w:r>
            <w:r w:rsidRPr="00C61E5E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управлением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1E5E" w:rsidRPr="00EF2AE9" w:rsidRDefault="00C61E5E" w:rsidP="00C61E5E">
            <w:pPr>
              <w:jc w:val="both"/>
              <w:rPr>
                <w:sz w:val="22"/>
                <w:szCs w:val="22"/>
              </w:rPr>
            </w:pPr>
            <w:r w:rsidRPr="00EF2AE9">
              <w:rPr>
                <w:sz w:val="22"/>
                <w:szCs w:val="22"/>
              </w:rPr>
              <w:lastRenderedPageBreak/>
              <w:t xml:space="preserve">Протез предназначен для частичной компенсации врожденных </w:t>
            </w:r>
            <w:r w:rsidR="0082146F" w:rsidRPr="00EF2AE9">
              <w:rPr>
                <w:sz w:val="22"/>
                <w:szCs w:val="22"/>
              </w:rPr>
              <w:t xml:space="preserve">аномалий </w:t>
            </w:r>
            <w:r w:rsidRPr="00EF2AE9">
              <w:rPr>
                <w:sz w:val="22"/>
                <w:szCs w:val="22"/>
              </w:rPr>
              <w:t xml:space="preserve">или приобретенных травм, приведших к ампутации </w:t>
            </w:r>
            <w:r w:rsidRPr="00EF2AE9">
              <w:rPr>
                <w:sz w:val="22"/>
                <w:szCs w:val="22"/>
              </w:rPr>
              <w:lastRenderedPageBreak/>
              <w:t>верхней конечности на уровне верхней трети предплечья.</w:t>
            </w:r>
          </w:p>
          <w:p w:rsidR="00C61E5E" w:rsidRPr="00EF2AE9" w:rsidRDefault="00C61E5E" w:rsidP="00C61E5E">
            <w:pPr>
              <w:jc w:val="both"/>
              <w:rPr>
                <w:sz w:val="22"/>
                <w:szCs w:val="22"/>
              </w:rPr>
            </w:pPr>
            <w:r w:rsidRPr="00EF2AE9">
              <w:rPr>
                <w:sz w:val="22"/>
                <w:szCs w:val="22"/>
              </w:rPr>
              <w:t xml:space="preserve">Приемная (постоянная) гильза изготавливается по индивидуальному гипсовому слепку из карбонового волокна на основе акриловых смол. Пробных приемных гильз – </w:t>
            </w:r>
            <w:r w:rsidR="0082146F" w:rsidRPr="00EF2AE9">
              <w:rPr>
                <w:sz w:val="22"/>
                <w:szCs w:val="22"/>
              </w:rPr>
              <w:t xml:space="preserve">не менее </w:t>
            </w:r>
            <w:r w:rsidRPr="00EF2AE9">
              <w:rPr>
                <w:sz w:val="22"/>
                <w:szCs w:val="22"/>
              </w:rPr>
              <w:t>2 шт.</w:t>
            </w:r>
            <w:r w:rsidR="0082146F" w:rsidRPr="00EF2AE9">
              <w:rPr>
                <w:sz w:val="22"/>
                <w:szCs w:val="22"/>
              </w:rPr>
              <w:t xml:space="preserve"> </w:t>
            </w: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EF2AE9">
              <w:rPr>
                <w:sz w:val="22"/>
                <w:szCs w:val="22"/>
              </w:rPr>
              <w:t>Вкладная гильза изготавливается из полиэтилен-сополимера.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Лучезапястный шарнир должен обеспечивать пассивную ротацию кисти и быстрый разъем кисти от культеприемной гильзы.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Кисть миоэлектрическая: с возможностью управления кистью как от двух, так и одного электрода для пациентов, имеющих одну работоспособную группу мышц; с пропорциональным управлением скоростью и силой схвата 90Н, обеспечивающий естественную и скоординированную работу всех пяти пальцев, с повышенной скоростью и точностью движений, гарантирующих выполнение не менее 30 моделей схватов/жестов искусственной кисти.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Наличие возможности в создании индивидуального активного схвата и пассивного жеста с помощью генератора схватов/жестов. Не менее 5 моделей управления схватами.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Световая индикация уровня заряда кисти.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Большой палец кисти со сгибанием в шарнирах первой фаланги, с электронным управлением приведения/отведения и сгибания/разгибания.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Пальцы со второго по пятый с электромеханическим управлением, с подвижностью в пястно- фаланговом и среднем шарнирах.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 Максимальная допустимая статическая нагрузка на каждый палец должна быть не менее 8 кг. Максимальная допустимая статическая нагрузка на протез должна быть не менее 110 кг.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 Минимальное время схвата кисти из полностью открытой в сжатый кулак должно быть не более 1,2 секунды. С помощью программы пользователь должен иметь возможность настроить варианты миоэлектрических сигналов-триггеров и определенных жестов для переключения схватов.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 Регулировка чувствительности датчиков должна осуществляться механическим способом, а также дистанционно по Bluetooth соединению с помощью приложения или программы, установленной на компьютере.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Кисть должна иметь сенсорный дисплей для возможности переключение и изменение жестов/схватов при помощи здоровой руки</w:t>
            </w:r>
            <w:r w:rsid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 и </w:t>
            </w:r>
            <w:r w:rsidR="00EF2AE9" w:rsidRPr="00EF2AE9">
              <w:rPr>
                <w:color w:val="212121"/>
                <w:sz w:val="22"/>
                <w:szCs w:val="22"/>
                <w:shd w:val="clear" w:color="auto" w:fill="FFFFFF"/>
              </w:rPr>
              <w:t>индикатор уровня заряда</w:t>
            </w: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C61E5E" w:rsidRPr="00EF2AE9" w:rsidRDefault="00C61E5E" w:rsidP="00C61E5E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 xml:space="preserve">Пылевлагозащита кисти должна подтверждаться стандартом IP54. </w:t>
            </w:r>
          </w:p>
          <w:p w:rsidR="00C61E5E" w:rsidRPr="00C61E5E" w:rsidRDefault="00C61E5E" w:rsidP="0097528F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Пальцы должны обладать функцией амортизации при схвате</w:t>
            </w:r>
            <w:r w:rsidR="0097528F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97528F" w:rsidRPr="00EF2AE9">
              <w:rPr>
                <w:color w:val="212121"/>
                <w:sz w:val="22"/>
                <w:szCs w:val="22"/>
                <w:shd w:val="clear" w:color="auto" w:fill="FFFFFF"/>
              </w:rPr>
              <w:t>предмета</w:t>
            </w:r>
            <w:r w:rsidRPr="00EF2AE9">
              <w:rPr>
                <w:color w:val="212121"/>
                <w:sz w:val="22"/>
                <w:szCs w:val="22"/>
                <w:shd w:val="clear" w:color="auto" w:fill="FFFFFF"/>
              </w:rPr>
              <w:t>.</w:t>
            </w:r>
            <w:r w:rsidRPr="00C61E5E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61E5E" w:rsidRPr="002D2AC5" w:rsidRDefault="00C61E5E" w:rsidP="00C61E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C61E5E" w:rsidRPr="001D7616" w:rsidTr="004070E3">
        <w:trPr>
          <w:trHeight w:val="51"/>
        </w:trPr>
        <w:tc>
          <w:tcPr>
            <w:tcW w:w="2410" w:type="dxa"/>
            <w:shd w:val="clear" w:color="auto" w:fill="auto"/>
          </w:tcPr>
          <w:p w:rsidR="00C61E5E" w:rsidRPr="00C61E5E" w:rsidRDefault="00C61E5E" w:rsidP="004070E3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1E5E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Протез предплечья рабочий</w:t>
            </w:r>
          </w:p>
          <w:p w:rsidR="00C61E5E" w:rsidRPr="00C61E5E" w:rsidRDefault="00C61E5E" w:rsidP="004070E3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61E5E" w:rsidRPr="00C61E5E" w:rsidRDefault="00C61E5E" w:rsidP="004070E3">
            <w:pPr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1E5E">
              <w:rPr>
                <w:color w:val="000000"/>
                <w:sz w:val="22"/>
                <w:szCs w:val="22"/>
                <w:lang w:eastAsia="ru-RU"/>
              </w:rPr>
              <w:t>Протез предплечья рабочий с комплектом рабочих насадок. Гильза индивидуальная, изготовленная по слепку, геометрическая копия сохранившейся руки, в зависимости от индивидуальных особенностей инвалид</w:t>
            </w:r>
            <w:r w:rsidR="004070E3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C61E5E">
              <w:rPr>
                <w:color w:val="000000"/>
                <w:sz w:val="22"/>
                <w:szCs w:val="22"/>
                <w:lang w:eastAsia="ru-RU"/>
              </w:rPr>
              <w:t xml:space="preserve">. Материал гильзы: слоистый пластик на основе литьевых смол, листовой термопласт, кожа </w:t>
            </w:r>
            <w:r w:rsidR="004070E3"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C61E5E">
              <w:rPr>
                <w:color w:val="000000"/>
                <w:sz w:val="22"/>
                <w:szCs w:val="22"/>
                <w:lang w:eastAsia="ru-RU"/>
              </w:rPr>
              <w:t xml:space="preserve">в зависимости от индивидуальных особенностей инвалида. Крепление индивидуальное, подгоночное в зависимости от индивидуальных особенностей инвалидов. </w:t>
            </w:r>
            <w:r w:rsidRPr="00C61E5E">
              <w:rPr>
                <w:color w:val="000000"/>
                <w:sz w:val="22"/>
                <w:szCs w:val="22"/>
              </w:rPr>
              <w:t>Чехлы хлопчатобумажные – 4 шт.</w:t>
            </w:r>
          </w:p>
        </w:tc>
        <w:tc>
          <w:tcPr>
            <w:tcW w:w="1099" w:type="dxa"/>
            <w:shd w:val="clear" w:color="auto" w:fill="auto"/>
          </w:tcPr>
          <w:p w:rsidR="00C61E5E" w:rsidRDefault="00C61E5E" w:rsidP="00C61E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1E5E" w:rsidRPr="001D7616" w:rsidTr="004070E3">
        <w:trPr>
          <w:trHeight w:val="51"/>
        </w:trPr>
        <w:tc>
          <w:tcPr>
            <w:tcW w:w="2410" w:type="dxa"/>
            <w:shd w:val="clear" w:color="auto" w:fill="auto"/>
          </w:tcPr>
          <w:p w:rsidR="00C61E5E" w:rsidRPr="00C61E5E" w:rsidRDefault="00C61E5E" w:rsidP="004070E3">
            <w:pPr>
              <w:widowContro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1E5E">
              <w:rPr>
                <w:b/>
                <w:color w:val="000000"/>
                <w:sz w:val="22"/>
                <w:szCs w:val="22"/>
                <w:lang w:eastAsia="ru-RU"/>
              </w:rPr>
              <w:t>Протез плеча косметический</w:t>
            </w:r>
          </w:p>
          <w:p w:rsidR="00C61E5E" w:rsidRPr="00C61E5E" w:rsidRDefault="00C61E5E" w:rsidP="004070E3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2146F" w:rsidRDefault="00C61E5E" w:rsidP="00C61E5E">
            <w:pPr>
              <w:jc w:val="both"/>
              <w:rPr>
                <w:sz w:val="22"/>
                <w:szCs w:val="22"/>
              </w:rPr>
            </w:pPr>
            <w:r w:rsidRPr="00C61E5E">
              <w:rPr>
                <w:sz w:val="22"/>
                <w:szCs w:val="22"/>
              </w:rPr>
              <w:t xml:space="preserve">Протез плеча косметический, предназначен </w:t>
            </w:r>
            <w:r w:rsidR="0082146F">
              <w:rPr>
                <w:sz w:val="22"/>
                <w:szCs w:val="22"/>
              </w:rPr>
              <w:t xml:space="preserve">для замещения дефекта </w:t>
            </w:r>
            <w:r w:rsidRPr="00C61E5E">
              <w:rPr>
                <w:sz w:val="22"/>
                <w:szCs w:val="22"/>
              </w:rPr>
              <w:t xml:space="preserve">при утрате эстетических параметров на уровне плеча. Протез </w:t>
            </w:r>
            <w:r w:rsidR="0082146F">
              <w:rPr>
                <w:sz w:val="22"/>
                <w:szCs w:val="22"/>
              </w:rPr>
              <w:t>должен состоять</w:t>
            </w:r>
            <w:r w:rsidRPr="00C61E5E">
              <w:rPr>
                <w:sz w:val="22"/>
                <w:szCs w:val="22"/>
              </w:rPr>
              <w:t xml:space="preserve"> из</w:t>
            </w:r>
            <w:r w:rsidR="0082146F">
              <w:rPr>
                <w:sz w:val="22"/>
                <w:szCs w:val="22"/>
              </w:rPr>
              <w:t xml:space="preserve"> </w:t>
            </w:r>
            <w:r w:rsidRPr="00C61E5E">
              <w:rPr>
                <w:sz w:val="22"/>
                <w:szCs w:val="22"/>
              </w:rPr>
              <w:t>п</w:t>
            </w:r>
            <w:r w:rsidR="0082146F">
              <w:rPr>
                <w:sz w:val="22"/>
                <w:szCs w:val="22"/>
              </w:rPr>
              <w:t xml:space="preserve">риемной гильзы плеча по слепку, </w:t>
            </w:r>
            <w:r w:rsidRPr="00C61E5E">
              <w:rPr>
                <w:sz w:val="22"/>
                <w:szCs w:val="22"/>
              </w:rPr>
              <w:t>комплекта узлов дл</w:t>
            </w:r>
            <w:r w:rsidR="0082146F">
              <w:rPr>
                <w:sz w:val="22"/>
                <w:szCs w:val="22"/>
              </w:rPr>
              <w:t xml:space="preserve">я протеза плеча косметического, </w:t>
            </w:r>
            <w:r w:rsidRPr="00C61E5E">
              <w:rPr>
                <w:sz w:val="22"/>
                <w:szCs w:val="22"/>
              </w:rPr>
              <w:t>узла локоть-предплечье эндоскелетного типа пассивного со ступенчатой фиксацией, с пассивной регулируем</w:t>
            </w:r>
            <w:r w:rsidR="0082146F">
              <w:rPr>
                <w:sz w:val="22"/>
                <w:szCs w:val="22"/>
              </w:rPr>
              <w:t xml:space="preserve">ой ротацией плеча и предплечья, узла запястья, </w:t>
            </w:r>
            <w:r w:rsidRPr="00C61E5E">
              <w:rPr>
                <w:sz w:val="22"/>
                <w:szCs w:val="22"/>
              </w:rPr>
              <w:t>к</w:t>
            </w:r>
            <w:r w:rsidR="0082146F">
              <w:rPr>
                <w:sz w:val="22"/>
                <w:szCs w:val="22"/>
              </w:rPr>
              <w:t xml:space="preserve">осметической кисти из силикона, </w:t>
            </w:r>
            <w:r w:rsidRPr="00C61E5E">
              <w:rPr>
                <w:sz w:val="22"/>
                <w:szCs w:val="22"/>
              </w:rPr>
              <w:t xml:space="preserve">пассивной искусственной кисти с косметической оболочкой из силикона (в зависимости от индивидуальных особенностей </w:t>
            </w:r>
            <w:r w:rsidRPr="00C61E5E">
              <w:rPr>
                <w:sz w:val="22"/>
                <w:szCs w:val="22"/>
              </w:rPr>
              <w:lastRenderedPageBreak/>
              <w:t>пациент</w:t>
            </w:r>
            <w:r w:rsidR="0082146F">
              <w:rPr>
                <w:sz w:val="22"/>
                <w:szCs w:val="22"/>
              </w:rPr>
              <w:t>а).</w:t>
            </w:r>
          </w:p>
          <w:p w:rsidR="00C61E5E" w:rsidRPr="00C61E5E" w:rsidRDefault="00C61E5E" w:rsidP="00C61E5E">
            <w:pPr>
              <w:jc w:val="both"/>
              <w:rPr>
                <w:sz w:val="22"/>
                <w:szCs w:val="22"/>
              </w:rPr>
            </w:pPr>
            <w:r w:rsidRPr="00C61E5E">
              <w:rPr>
                <w:sz w:val="22"/>
                <w:szCs w:val="22"/>
              </w:rPr>
              <w:t xml:space="preserve">Узлы протеза </w:t>
            </w:r>
            <w:r w:rsidR="0082146F">
              <w:rPr>
                <w:sz w:val="22"/>
                <w:szCs w:val="22"/>
              </w:rPr>
              <w:t xml:space="preserve">должны быть </w:t>
            </w:r>
            <w:r w:rsidRPr="00C61E5E">
              <w:rPr>
                <w:sz w:val="22"/>
                <w:szCs w:val="22"/>
              </w:rPr>
              <w:t xml:space="preserve">покрыты мягкой поролоновой косметикой и обтянуты нейлоновым рукавом. По желанию пациента </w:t>
            </w:r>
            <w:r w:rsidR="00A50CA1">
              <w:rPr>
                <w:sz w:val="22"/>
                <w:szCs w:val="22"/>
              </w:rPr>
              <w:t>должен быть предусмотрен</w:t>
            </w:r>
            <w:r w:rsidRPr="00C61E5E">
              <w:rPr>
                <w:sz w:val="22"/>
                <w:szCs w:val="22"/>
              </w:rPr>
              <w:t xml:space="preserve"> выбор нейлонового рукава с рисунком, имитирующим тату.</w:t>
            </w:r>
          </w:p>
          <w:p w:rsidR="0082146F" w:rsidRDefault="00C61E5E" w:rsidP="00C61E5E">
            <w:pPr>
              <w:jc w:val="both"/>
              <w:rPr>
                <w:sz w:val="22"/>
                <w:szCs w:val="22"/>
              </w:rPr>
            </w:pPr>
            <w:r w:rsidRPr="00C61E5E">
              <w:rPr>
                <w:sz w:val="22"/>
                <w:szCs w:val="22"/>
              </w:rPr>
              <w:t xml:space="preserve">Примерочная гильза </w:t>
            </w:r>
            <w:r w:rsidR="00A50CA1">
              <w:rPr>
                <w:sz w:val="22"/>
                <w:szCs w:val="22"/>
              </w:rPr>
              <w:t xml:space="preserve">должна быть </w:t>
            </w:r>
            <w:r w:rsidRPr="00C61E5E">
              <w:rPr>
                <w:sz w:val="22"/>
                <w:szCs w:val="22"/>
              </w:rPr>
              <w:t xml:space="preserve">из термопласта. Постоянная гильза плеча </w:t>
            </w:r>
            <w:r w:rsidR="004070E3">
              <w:rPr>
                <w:sz w:val="22"/>
                <w:szCs w:val="22"/>
              </w:rPr>
              <w:t xml:space="preserve">должна </w:t>
            </w:r>
            <w:r w:rsidRPr="00C61E5E">
              <w:rPr>
                <w:sz w:val="22"/>
                <w:szCs w:val="22"/>
              </w:rPr>
              <w:t>состо</w:t>
            </w:r>
            <w:r w:rsidR="004070E3">
              <w:rPr>
                <w:sz w:val="22"/>
                <w:szCs w:val="22"/>
              </w:rPr>
              <w:t>ять</w:t>
            </w:r>
            <w:r w:rsidRPr="00C61E5E">
              <w:rPr>
                <w:sz w:val="22"/>
                <w:szCs w:val="22"/>
              </w:rPr>
              <w:t xml:space="preserve"> из приемной гильзы, изготовленной по слепку с культи инвалида, из термалина софт. Несущая гильза изгот</w:t>
            </w:r>
            <w:r w:rsidR="004070E3">
              <w:rPr>
                <w:sz w:val="22"/>
                <w:szCs w:val="22"/>
              </w:rPr>
              <w:t>авливается</w:t>
            </w:r>
            <w:r w:rsidRPr="00C61E5E">
              <w:rPr>
                <w:sz w:val="22"/>
                <w:szCs w:val="22"/>
              </w:rPr>
              <w:t xml:space="preserve"> на основе композитных материалов из акриловых смол с металлическими закладными эле</w:t>
            </w:r>
            <w:r w:rsidR="0082146F">
              <w:rPr>
                <w:sz w:val="22"/>
                <w:szCs w:val="22"/>
              </w:rPr>
              <w:t>ментам по индивидуальной модели.</w:t>
            </w:r>
          </w:p>
          <w:p w:rsidR="00C61E5E" w:rsidRPr="00C61E5E" w:rsidRDefault="00C61E5E" w:rsidP="00C61E5E">
            <w:pPr>
              <w:jc w:val="both"/>
              <w:rPr>
                <w:sz w:val="22"/>
                <w:szCs w:val="22"/>
              </w:rPr>
            </w:pPr>
            <w:r w:rsidRPr="00C61E5E">
              <w:rPr>
                <w:sz w:val="22"/>
                <w:szCs w:val="22"/>
              </w:rPr>
              <w:t>Крепление индивидуальное</w:t>
            </w:r>
            <w:r w:rsidR="004070E3">
              <w:rPr>
                <w:sz w:val="22"/>
                <w:szCs w:val="22"/>
              </w:rPr>
              <w:t>,</w:t>
            </w:r>
            <w:r w:rsidRPr="00C61E5E">
              <w:rPr>
                <w:sz w:val="22"/>
                <w:szCs w:val="22"/>
              </w:rPr>
              <w:t xml:space="preserve"> выполненное за счет изготовления жесткого полукорсета.</w:t>
            </w:r>
          </w:p>
          <w:p w:rsidR="00C61E5E" w:rsidRPr="00C61E5E" w:rsidRDefault="00C61E5E" w:rsidP="004070E3">
            <w:pPr>
              <w:widowControl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1E5E">
              <w:rPr>
                <w:sz w:val="22"/>
                <w:szCs w:val="22"/>
              </w:rPr>
              <w:t xml:space="preserve">Чехлы хлопчатобумажные – </w:t>
            </w:r>
            <w:r w:rsidR="004070E3">
              <w:rPr>
                <w:sz w:val="22"/>
                <w:szCs w:val="22"/>
              </w:rPr>
              <w:t>4</w:t>
            </w:r>
            <w:r w:rsidRPr="00C61E5E">
              <w:rPr>
                <w:sz w:val="22"/>
                <w:szCs w:val="22"/>
              </w:rPr>
              <w:t xml:space="preserve"> штуки.</w:t>
            </w:r>
          </w:p>
        </w:tc>
        <w:tc>
          <w:tcPr>
            <w:tcW w:w="1099" w:type="dxa"/>
            <w:shd w:val="clear" w:color="auto" w:fill="auto"/>
          </w:tcPr>
          <w:p w:rsidR="00C61E5E" w:rsidRDefault="00C61E5E" w:rsidP="00C61E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66134C" w:rsidRPr="00B65F1F" w:rsidTr="00D015D9">
        <w:tc>
          <w:tcPr>
            <w:tcW w:w="2410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lastRenderedPageBreak/>
              <w:t>Требования к техническим и функциональным характеристикам работ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6134C" w:rsidRPr="000E2993" w:rsidRDefault="0066134C" w:rsidP="002D5A4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Работы по обеспечению Получател</w:t>
            </w:r>
            <w:r w:rsidR="006871D1">
              <w:rPr>
                <w:sz w:val="22"/>
                <w:szCs w:val="22"/>
              </w:rPr>
              <w:t>я</w:t>
            </w:r>
            <w:r w:rsidRPr="000E2993">
              <w:rPr>
                <w:sz w:val="22"/>
                <w:szCs w:val="22"/>
              </w:rPr>
              <w:t xml:space="preserve"> </w:t>
            </w:r>
            <w:r w:rsidR="00A74007">
              <w:rPr>
                <w:sz w:val="22"/>
                <w:szCs w:val="22"/>
              </w:rPr>
              <w:t>протезами</w:t>
            </w:r>
            <w:r w:rsidRPr="000E2993">
              <w:rPr>
                <w:sz w:val="22"/>
                <w:szCs w:val="22"/>
              </w:rPr>
              <w:t xml:space="preserve"> должны содержать комплекс </w:t>
            </w:r>
            <w:r w:rsidR="004120BE">
              <w:rPr>
                <w:sz w:val="22"/>
                <w:szCs w:val="22"/>
              </w:rPr>
              <w:t xml:space="preserve">медицинских, технических и социальных </w:t>
            </w:r>
            <w:r w:rsidRPr="000E2993">
              <w:rPr>
                <w:sz w:val="22"/>
                <w:szCs w:val="22"/>
              </w:rPr>
              <w:t>мероприятий, проводимых с Получател</w:t>
            </w:r>
            <w:r w:rsidR="006871D1">
              <w:rPr>
                <w:sz w:val="22"/>
                <w:szCs w:val="22"/>
              </w:rPr>
              <w:t>ем</w:t>
            </w:r>
            <w:r w:rsidRPr="000E2993">
              <w:rPr>
                <w:sz w:val="22"/>
                <w:szCs w:val="22"/>
              </w:rPr>
              <w:t xml:space="preserve">, имеющим дефекты опорно-двигательного аппарата, в целях компенсации ограничения </w:t>
            </w:r>
            <w:r w:rsidR="006871D1">
              <w:rPr>
                <w:sz w:val="22"/>
                <w:szCs w:val="22"/>
              </w:rPr>
              <w:t>его</w:t>
            </w:r>
            <w:r w:rsidRPr="000E2993">
              <w:rPr>
                <w:sz w:val="22"/>
                <w:szCs w:val="22"/>
              </w:rPr>
              <w:t xml:space="preserve"> жизнедеятельности.</w:t>
            </w:r>
          </w:p>
          <w:p w:rsidR="0066134C" w:rsidRPr="000E2993" w:rsidRDefault="0066134C" w:rsidP="002D5A4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 xml:space="preserve">При изготовлении </w:t>
            </w:r>
            <w:r w:rsidR="00A74007">
              <w:rPr>
                <w:sz w:val="22"/>
                <w:szCs w:val="22"/>
              </w:rPr>
              <w:t>протезов</w:t>
            </w:r>
            <w:r w:rsidRPr="000E2993">
              <w:rPr>
                <w:sz w:val="22"/>
                <w:szCs w:val="22"/>
              </w:rPr>
              <w:t xml:space="preserve"> должны использоваться различные материалы и комплектующие,</w:t>
            </w:r>
            <w:r>
              <w:rPr>
                <w:sz w:val="22"/>
                <w:szCs w:val="22"/>
              </w:rPr>
              <w:t xml:space="preserve"> с учетом патологии Получател</w:t>
            </w:r>
            <w:r w:rsidR="006871D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</w:p>
          <w:p w:rsidR="0066134C" w:rsidRPr="000E2993" w:rsidRDefault="0066134C" w:rsidP="002D5A48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      </w:r>
          </w:p>
          <w:p w:rsidR="0066134C" w:rsidRPr="000E2993" w:rsidRDefault="0066134C" w:rsidP="002D5A48">
            <w:pPr>
              <w:jc w:val="both"/>
              <w:rPr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>Материалы, применяемые для изготовления Изделий, не должны содержать ядовитых (токсичных) компонентов, не должны воздейст</w:t>
            </w:r>
            <w:bookmarkStart w:id="0" w:name="_GoBack"/>
            <w:bookmarkEnd w:id="0"/>
            <w:r w:rsidRPr="000E2993">
              <w:rPr>
                <w:sz w:val="22"/>
                <w:szCs w:val="22"/>
              </w:rPr>
              <w:t>вовать на цвет поверхности, с которой контактируют те или иные детали изделия,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      </w:r>
          </w:p>
          <w:p w:rsidR="0066134C" w:rsidRPr="000E2993" w:rsidRDefault="0066134C" w:rsidP="0066134C">
            <w:pPr>
              <w:jc w:val="both"/>
              <w:rPr>
                <w:b/>
                <w:sz w:val="22"/>
                <w:szCs w:val="22"/>
              </w:rPr>
            </w:pPr>
            <w:r w:rsidRPr="000E2993">
              <w:rPr>
                <w:sz w:val="22"/>
                <w:szCs w:val="22"/>
              </w:rPr>
              <w:t xml:space="preserve">Изделия должны быть новыми, свободными от прав третьих лиц. </w:t>
            </w:r>
          </w:p>
        </w:tc>
      </w:tr>
      <w:tr w:rsidR="0066134C" w:rsidRPr="00B65F1F" w:rsidTr="00D015D9">
        <w:tc>
          <w:tcPr>
            <w:tcW w:w="2410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>Требования к гарантийному сроку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6134C" w:rsidRPr="00B43495" w:rsidRDefault="0066134C" w:rsidP="004120B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3495">
              <w:rPr>
                <w:sz w:val="22"/>
                <w:szCs w:val="22"/>
              </w:rPr>
              <w:t>Гарантийный срок</w:t>
            </w:r>
            <w:r w:rsidR="00A74007">
              <w:rPr>
                <w:sz w:val="22"/>
                <w:szCs w:val="22"/>
              </w:rPr>
              <w:t xml:space="preserve"> Издели</w:t>
            </w:r>
            <w:r w:rsidR="00E67E96">
              <w:rPr>
                <w:sz w:val="22"/>
                <w:szCs w:val="22"/>
              </w:rPr>
              <w:t>й</w:t>
            </w:r>
            <w:r w:rsidR="00A74007">
              <w:rPr>
                <w:sz w:val="22"/>
                <w:szCs w:val="22"/>
              </w:rPr>
              <w:t xml:space="preserve"> </w:t>
            </w:r>
            <w:r w:rsidR="00AB0411">
              <w:rPr>
                <w:sz w:val="22"/>
                <w:szCs w:val="22"/>
              </w:rPr>
              <w:t>должен составлять</w:t>
            </w:r>
            <w:r w:rsidR="00BF2305">
              <w:rPr>
                <w:sz w:val="22"/>
                <w:szCs w:val="22"/>
              </w:rPr>
              <w:t xml:space="preserve"> не менее 12</w:t>
            </w:r>
            <w:r w:rsidRPr="00B43495">
              <w:rPr>
                <w:sz w:val="22"/>
                <w:szCs w:val="22"/>
              </w:rPr>
              <w:t xml:space="preserve"> (</w:t>
            </w:r>
            <w:r w:rsidR="00BF2305">
              <w:rPr>
                <w:sz w:val="22"/>
                <w:szCs w:val="22"/>
              </w:rPr>
              <w:t>двенадцати</w:t>
            </w:r>
            <w:r w:rsidRPr="00B43495">
              <w:rPr>
                <w:sz w:val="22"/>
                <w:szCs w:val="22"/>
              </w:rPr>
              <w:t>) месяцев с момента получения Издели</w:t>
            </w:r>
            <w:r w:rsidR="00E67E96">
              <w:rPr>
                <w:sz w:val="22"/>
                <w:szCs w:val="22"/>
              </w:rPr>
              <w:t>й</w:t>
            </w:r>
            <w:r w:rsidRPr="00B43495">
              <w:rPr>
                <w:sz w:val="22"/>
                <w:szCs w:val="22"/>
              </w:rPr>
              <w:t xml:space="preserve"> Получателем</w:t>
            </w:r>
            <w:r w:rsidR="004120BE">
              <w:rPr>
                <w:sz w:val="22"/>
                <w:szCs w:val="22"/>
              </w:rPr>
              <w:t xml:space="preserve"> (представителем Получателя)</w:t>
            </w:r>
            <w:r w:rsidR="00BF2305" w:rsidRPr="009D4D0C">
              <w:rPr>
                <w:bCs/>
                <w:sz w:val="22"/>
                <w:szCs w:val="22"/>
              </w:rPr>
              <w:t>.</w:t>
            </w:r>
          </w:p>
        </w:tc>
      </w:tr>
      <w:tr w:rsidR="0066134C" w:rsidRPr="00B65F1F" w:rsidTr="00D015D9">
        <w:tc>
          <w:tcPr>
            <w:tcW w:w="2410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 xml:space="preserve">Требования к гарантийному обслуживанию 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B559C1" w:rsidRPr="00B43495" w:rsidRDefault="00B559C1" w:rsidP="00B559C1">
            <w:pPr>
              <w:jc w:val="both"/>
              <w:rPr>
                <w:sz w:val="22"/>
                <w:szCs w:val="22"/>
              </w:rPr>
            </w:pPr>
            <w:r w:rsidRPr="00B43495">
              <w:rPr>
                <w:sz w:val="22"/>
                <w:szCs w:val="22"/>
              </w:rPr>
              <w:t>Исполнитель обязан осуществлять гарантийный ремонт Издели</w:t>
            </w:r>
            <w:r w:rsidR="003C5298">
              <w:rPr>
                <w:sz w:val="22"/>
                <w:szCs w:val="22"/>
              </w:rPr>
              <w:t>й</w:t>
            </w:r>
            <w:r w:rsidRPr="00B43495">
              <w:rPr>
                <w:sz w:val="22"/>
                <w:szCs w:val="22"/>
              </w:rPr>
              <w:t xml:space="preserve"> за счет собственных средств в период гарантийного срока. Срок выполнения гарантийного ремонта не должен превышать 5 (пяти) рабочих дней со дня обращения Получателя</w:t>
            </w:r>
            <w:r w:rsidR="00E53013">
              <w:rPr>
                <w:sz w:val="22"/>
                <w:szCs w:val="22"/>
              </w:rPr>
              <w:t xml:space="preserve"> (представителя Получателя)</w:t>
            </w:r>
            <w:r w:rsidRPr="00B43495">
              <w:rPr>
                <w:sz w:val="22"/>
                <w:szCs w:val="22"/>
              </w:rPr>
              <w:t xml:space="preserve">. </w:t>
            </w:r>
          </w:p>
          <w:p w:rsidR="00B559C1" w:rsidRPr="00404895" w:rsidRDefault="00B559C1" w:rsidP="00B559C1">
            <w:pPr>
              <w:jc w:val="both"/>
              <w:rPr>
                <w:sz w:val="22"/>
                <w:szCs w:val="22"/>
              </w:rPr>
            </w:pPr>
            <w:r w:rsidRPr="00404895">
              <w:rPr>
                <w:sz w:val="22"/>
                <w:szCs w:val="22"/>
              </w:rPr>
              <w:t>Обеспечить возможность ремонта, устранения недостатков при выполнении работ по изготовлению Издели</w:t>
            </w:r>
            <w:r w:rsidR="003C5298">
              <w:rPr>
                <w:sz w:val="22"/>
                <w:szCs w:val="22"/>
              </w:rPr>
              <w:t>й</w:t>
            </w:r>
            <w:r w:rsidRPr="00404895">
              <w:rPr>
                <w:sz w:val="22"/>
                <w:szCs w:val="22"/>
              </w:rPr>
              <w:t xml:space="preserve"> в соответствии с Федеральным законом от 07.02.1992 № 2300-1 «О защите прав потребителей». </w:t>
            </w:r>
          </w:p>
          <w:p w:rsidR="0066134C" w:rsidRPr="00B43495" w:rsidRDefault="00404895" w:rsidP="004120BE">
            <w:pPr>
              <w:jc w:val="both"/>
              <w:rPr>
                <w:b/>
                <w:sz w:val="22"/>
                <w:szCs w:val="22"/>
              </w:rPr>
            </w:pPr>
            <w:r w:rsidRPr="00404895">
              <w:rPr>
                <w:bCs/>
                <w:sz w:val="22"/>
                <w:szCs w:val="22"/>
              </w:rPr>
              <w:t xml:space="preserve">Исполнитель </w:t>
            </w:r>
            <w:r>
              <w:rPr>
                <w:bCs/>
                <w:sz w:val="22"/>
                <w:szCs w:val="22"/>
              </w:rPr>
              <w:t>обязан</w:t>
            </w:r>
            <w:r w:rsidRPr="00404895">
              <w:rPr>
                <w:bCs/>
                <w:sz w:val="22"/>
                <w:szCs w:val="22"/>
              </w:rPr>
              <w:t xml:space="preserve"> обеспечить расположение с</w:t>
            </w:r>
            <w:r w:rsidR="00B559C1" w:rsidRPr="00404895">
              <w:rPr>
                <w:bCs/>
                <w:sz w:val="22"/>
                <w:szCs w:val="22"/>
              </w:rPr>
              <w:t>ервисн</w:t>
            </w:r>
            <w:r w:rsidRPr="00404895">
              <w:rPr>
                <w:bCs/>
                <w:sz w:val="22"/>
                <w:szCs w:val="22"/>
              </w:rPr>
              <w:t>ой</w:t>
            </w:r>
            <w:r w:rsidR="00B559C1" w:rsidRPr="00404895">
              <w:rPr>
                <w:bCs/>
                <w:sz w:val="22"/>
                <w:szCs w:val="22"/>
              </w:rPr>
              <w:t xml:space="preserve"> служб</w:t>
            </w:r>
            <w:r w:rsidRPr="00404895">
              <w:rPr>
                <w:bCs/>
                <w:sz w:val="22"/>
                <w:szCs w:val="22"/>
              </w:rPr>
              <w:t>ы</w:t>
            </w:r>
            <w:r w:rsidR="00B559C1" w:rsidRPr="00404895">
              <w:rPr>
                <w:bCs/>
                <w:sz w:val="22"/>
                <w:szCs w:val="22"/>
              </w:rPr>
              <w:t xml:space="preserve"> для оказания услуг по техническому сопровождению изделия (техническому обслуживанию, ремонту и утилизации) на территории города </w:t>
            </w:r>
            <w:r w:rsidR="004120BE">
              <w:rPr>
                <w:bCs/>
                <w:sz w:val="22"/>
                <w:szCs w:val="22"/>
              </w:rPr>
              <w:t>Саратова</w:t>
            </w:r>
            <w:r w:rsidRPr="00404895">
              <w:rPr>
                <w:bCs/>
                <w:sz w:val="22"/>
                <w:szCs w:val="22"/>
              </w:rPr>
              <w:t xml:space="preserve">, или </w:t>
            </w:r>
            <w:r>
              <w:rPr>
                <w:bCs/>
                <w:sz w:val="22"/>
                <w:szCs w:val="22"/>
              </w:rPr>
              <w:t>возместить за счет собственных средств</w:t>
            </w:r>
            <w:r w:rsidRPr="00404895">
              <w:rPr>
                <w:bCs/>
                <w:sz w:val="22"/>
                <w:szCs w:val="22"/>
              </w:rPr>
              <w:t xml:space="preserve"> р</w:t>
            </w:r>
            <w:r w:rsidRPr="00404895">
              <w:rPr>
                <w:sz w:val="22"/>
                <w:szCs w:val="22"/>
              </w:rPr>
              <w:t>асходы на проезд Получателя для ремонта Издели</w:t>
            </w:r>
            <w:r w:rsidR="003C5298">
              <w:rPr>
                <w:sz w:val="22"/>
                <w:szCs w:val="22"/>
              </w:rPr>
              <w:t>й</w:t>
            </w:r>
            <w:r w:rsidRPr="00404895">
              <w:rPr>
                <w:sz w:val="22"/>
                <w:szCs w:val="22"/>
              </w:rPr>
              <w:t xml:space="preserve"> или доставку Издели</w:t>
            </w:r>
            <w:r w:rsidR="003C5298">
              <w:rPr>
                <w:sz w:val="22"/>
                <w:szCs w:val="22"/>
              </w:rPr>
              <w:t>й</w:t>
            </w:r>
            <w:r w:rsidRPr="00404895">
              <w:rPr>
                <w:sz w:val="22"/>
                <w:szCs w:val="22"/>
              </w:rPr>
              <w:t xml:space="preserve"> для ремонта любым другим способом до истечения его гарантийного срока</w:t>
            </w:r>
            <w:r w:rsidR="00B559C1" w:rsidRPr="00404895">
              <w:rPr>
                <w:bCs/>
                <w:sz w:val="22"/>
                <w:szCs w:val="22"/>
              </w:rPr>
              <w:t>.</w:t>
            </w:r>
          </w:p>
        </w:tc>
      </w:tr>
      <w:tr w:rsidR="0066134C" w:rsidRPr="00B65F1F" w:rsidTr="00D015D9">
        <w:tc>
          <w:tcPr>
            <w:tcW w:w="2410" w:type="dxa"/>
            <w:shd w:val="clear" w:color="auto" w:fill="auto"/>
          </w:tcPr>
          <w:p w:rsidR="0066134C" w:rsidRPr="00B65F1F" w:rsidRDefault="0066134C" w:rsidP="0066134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Требование к упаковке</w:t>
            </w:r>
          </w:p>
        </w:tc>
        <w:tc>
          <w:tcPr>
            <w:tcW w:w="7620" w:type="dxa"/>
            <w:gridSpan w:val="2"/>
            <w:shd w:val="clear" w:color="auto" w:fill="auto"/>
            <w:vAlign w:val="center"/>
          </w:tcPr>
          <w:p w:rsidR="0066134C" w:rsidRPr="004120BE" w:rsidRDefault="0066134C" w:rsidP="005A60F1">
            <w:pPr>
              <w:jc w:val="both"/>
              <w:rPr>
                <w:sz w:val="22"/>
                <w:szCs w:val="22"/>
              </w:rPr>
            </w:pPr>
            <w:r w:rsidRPr="004120BE">
              <w:rPr>
                <w:sz w:val="22"/>
                <w:szCs w:val="22"/>
              </w:rPr>
              <w:t>Изделия должны быть в упаковке, защищающей от повреждений и воздействия внешней среды.</w:t>
            </w:r>
          </w:p>
        </w:tc>
      </w:tr>
      <w:tr w:rsidR="0066134C" w:rsidRPr="00B65F1F" w:rsidTr="00D015D9">
        <w:trPr>
          <w:trHeight w:val="699"/>
        </w:trPr>
        <w:tc>
          <w:tcPr>
            <w:tcW w:w="2410" w:type="dxa"/>
            <w:shd w:val="clear" w:color="auto" w:fill="auto"/>
          </w:tcPr>
          <w:p w:rsidR="0066134C" w:rsidRPr="00B65F1F" w:rsidRDefault="0066134C" w:rsidP="002D5A48">
            <w:pPr>
              <w:spacing w:before="120" w:after="120"/>
              <w:rPr>
                <w:b/>
                <w:sz w:val="22"/>
                <w:szCs w:val="22"/>
              </w:rPr>
            </w:pPr>
            <w:r w:rsidRPr="00B65F1F">
              <w:rPr>
                <w:b/>
                <w:sz w:val="22"/>
                <w:szCs w:val="22"/>
              </w:rPr>
              <w:t>Соответствие требованиям стандартов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4120BE" w:rsidRPr="0030320E" w:rsidRDefault="004120BE" w:rsidP="004120BE">
            <w:pPr>
              <w:jc w:val="both"/>
              <w:rPr>
                <w:sz w:val="22"/>
                <w:szCs w:val="22"/>
              </w:rPr>
            </w:pPr>
            <w:r w:rsidRPr="0030320E">
              <w:rPr>
                <w:sz w:val="22"/>
                <w:szCs w:val="22"/>
              </w:rPr>
              <w:t>Качество изготавливаемых Изделий должно соответствовать государственным стандартам (ГОСТ), действующим на территории Российской Федерации:</w:t>
            </w:r>
          </w:p>
          <w:p w:rsidR="004120BE" w:rsidRPr="0030320E" w:rsidRDefault="004120BE" w:rsidP="004120BE">
            <w:pPr>
              <w:jc w:val="both"/>
              <w:rPr>
                <w:rFonts w:eastAsia="Calibri"/>
                <w:sz w:val="22"/>
                <w:szCs w:val="22"/>
              </w:rPr>
            </w:pPr>
            <w:r w:rsidRPr="0030320E">
              <w:rPr>
                <w:rFonts w:eastAsia="Calibri"/>
                <w:sz w:val="22"/>
                <w:szCs w:val="22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испытаний»,</w:t>
            </w:r>
          </w:p>
          <w:p w:rsidR="0066134C" w:rsidRPr="00B43495" w:rsidRDefault="004120BE" w:rsidP="004120BE">
            <w:pPr>
              <w:jc w:val="both"/>
              <w:rPr>
                <w:b/>
                <w:sz w:val="22"/>
                <w:szCs w:val="22"/>
              </w:rPr>
            </w:pPr>
            <w:r w:rsidRPr="0030320E">
              <w:rPr>
                <w:rFonts w:eastAsia="Calibri"/>
                <w:sz w:val="22"/>
                <w:szCs w:val="22"/>
              </w:rPr>
              <w:t xml:space="preserve">- </w:t>
            </w:r>
            <w:r w:rsidRPr="0030320E">
              <w:rPr>
                <w:sz w:val="22"/>
                <w:szCs w:val="22"/>
              </w:rPr>
              <w:t>ГОСТ Р 51819-2022 «Протезирование и ортезирование верхних и нижних конечностей</w:t>
            </w:r>
            <w:r w:rsidRPr="0030320E">
              <w:rPr>
                <w:rFonts w:eastAsia="Calibri"/>
                <w:sz w:val="22"/>
                <w:szCs w:val="22"/>
              </w:rPr>
              <w:t>».</w:t>
            </w:r>
          </w:p>
        </w:tc>
      </w:tr>
    </w:tbl>
    <w:p w:rsidR="00152A55" w:rsidRDefault="00152A55"/>
    <w:sectPr w:rsidR="00152A55" w:rsidSect="00D015D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B0" w:rsidRDefault="00A85DB0" w:rsidP="00D015D9">
      <w:r>
        <w:separator/>
      </w:r>
    </w:p>
  </w:endnote>
  <w:endnote w:type="continuationSeparator" w:id="0">
    <w:p w:rsidR="00A85DB0" w:rsidRDefault="00A85DB0" w:rsidP="00D0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B0" w:rsidRDefault="00A85DB0" w:rsidP="00D015D9">
      <w:r>
        <w:separator/>
      </w:r>
    </w:p>
  </w:footnote>
  <w:footnote w:type="continuationSeparator" w:id="0">
    <w:p w:rsidR="00A85DB0" w:rsidRDefault="00A85DB0" w:rsidP="00D0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32"/>
    <w:rsid w:val="00030E0E"/>
    <w:rsid w:val="00086700"/>
    <w:rsid w:val="00086E87"/>
    <w:rsid w:val="000A50FB"/>
    <w:rsid w:val="000C2135"/>
    <w:rsid w:val="000C37C0"/>
    <w:rsid w:val="000D15BA"/>
    <w:rsid w:val="000F4A81"/>
    <w:rsid w:val="001049CB"/>
    <w:rsid w:val="00132A3F"/>
    <w:rsid w:val="00152A55"/>
    <w:rsid w:val="001D0A91"/>
    <w:rsid w:val="001D5374"/>
    <w:rsid w:val="001D7616"/>
    <w:rsid w:val="001F5315"/>
    <w:rsid w:val="00220131"/>
    <w:rsid w:val="002249F3"/>
    <w:rsid w:val="00231090"/>
    <w:rsid w:val="00256F81"/>
    <w:rsid w:val="00265AB6"/>
    <w:rsid w:val="00266F5C"/>
    <w:rsid w:val="00286538"/>
    <w:rsid w:val="00290A6C"/>
    <w:rsid w:val="002C0A97"/>
    <w:rsid w:val="00315F37"/>
    <w:rsid w:val="00320D66"/>
    <w:rsid w:val="003507A3"/>
    <w:rsid w:val="003514E3"/>
    <w:rsid w:val="00391CAA"/>
    <w:rsid w:val="003B29D0"/>
    <w:rsid w:val="003B741E"/>
    <w:rsid w:val="003C5298"/>
    <w:rsid w:val="003F69D8"/>
    <w:rsid w:val="00402A19"/>
    <w:rsid w:val="00404895"/>
    <w:rsid w:val="00404F2D"/>
    <w:rsid w:val="004070E3"/>
    <w:rsid w:val="004120BE"/>
    <w:rsid w:val="00417930"/>
    <w:rsid w:val="0044259E"/>
    <w:rsid w:val="00445952"/>
    <w:rsid w:val="00482998"/>
    <w:rsid w:val="004863BD"/>
    <w:rsid w:val="004E1658"/>
    <w:rsid w:val="004E4913"/>
    <w:rsid w:val="004F0A7E"/>
    <w:rsid w:val="00526358"/>
    <w:rsid w:val="00527D6F"/>
    <w:rsid w:val="005341BD"/>
    <w:rsid w:val="00541467"/>
    <w:rsid w:val="00542EF0"/>
    <w:rsid w:val="00567502"/>
    <w:rsid w:val="005A60F1"/>
    <w:rsid w:val="005C08BF"/>
    <w:rsid w:val="005C4732"/>
    <w:rsid w:val="005D174F"/>
    <w:rsid w:val="005F23E8"/>
    <w:rsid w:val="0060799B"/>
    <w:rsid w:val="0061239D"/>
    <w:rsid w:val="00620440"/>
    <w:rsid w:val="006559B3"/>
    <w:rsid w:val="0066134C"/>
    <w:rsid w:val="0067698F"/>
    <w:rsid w:val="0068227F"/>
    <w:rsid w:val="006871D1"/>
    <w:rsid w:val="006A238B"/>
    <w:rsid w:val="006A4BD3"/>
    <w:rsid w:val="006A6AAC"/>
    <w:rsid w:val="006D7A9B"/>
    <w:rsid w:val="00797EE6"/>
    <w:rsid w:val="007A0369"/>
    <w:rsid w:val="007C2D68"/>
    <w:rsid w:val="007C3B42"/>
    <w:rsid w:val="007C3B82"/>
    <w:rsid w:val="007C6882"/>
    <w:rsid w:val="007D3A42"/>
    <w:rsid w:val="0082146F"/>
    <w:rsid w:val="008220FC"/>
    <w:rsid w:val="00862A8A"/>
    <w:rsid w:val="00862CE3"/>
    <w:rsid w:val="00867C4E"/>
    <w:rsid w:val="008867E5"/>
    <w:rsid w:val="0089785A"/>
    <w:rsid w:val="008B5F3D"/>
    <w:rsid w:val="008F57E6"/>
    <w:rsid w:val="00973CC3"/>
    <w:rsid w:val="0097528F"/>
    <w:rsid w:val="00981904"/>
    <w:rsid w:val="00986FCE"/>
    <w:rsid w:val="00992014"/>
    <w:rsid w:val="009A2FA0"/>
    <w:rsid w:val="009B0300"/>
    <w:rsid w:val="009C007C"/>
    <w:rsid w:val="009C0B79"/>
    <w:rsid w:val="009C6B70"/>
    <w:rsid w:val="009D4D0C"/>
    <w:rsid w:val="00A067F6"/>
    <w:rsid w:val="00A1135C"/>
    <w:rsid w:val="00A133AB"/>
    <w:rsid w:val="00A31948"/>
    <w:rsid w:val="00A50CA1"/>
    <w:rsid w:val="00A51783"/>
    <w:rsid w:val="00A74007"/>
    <w:rsid w:val="00A839DD"/>
    <w:rsid w:val="00A85DB0"/>
    <w:rsid w:val="00AA48C2"/>
    <w:rsid w:val="00AB0411"/>
    <w:rsid w:val="00AD12C9"/>
    <w:rsid w:val="00B00DF2"/>
    <w:rsid w:val="00B5569B"/>
    <w:rsid w:val="00B559C1"/>
    <w:rsid w:val="00B77C87"/>
    <w:rsid w:val="00BF2305"/>
    <w:rsid w:val="00C06DDC"/>
    <w:rsid w:val="00C25FC9"/>
    <w:rsid w:val="00C4148F"/>
    <w:rsid w:val="00C61E5E"/>
    <w:rsid w:val="00C72F62"/>
    <w:rsid w:val="00CA5ABA"/>
    <w:rsid w:val="00CB4D1B"/>
    <w:rsid w:val="00CC67BF"/>
    <w:rsid w:val="00CD2F05"/>
    <w:rsid w:val="00CD3DB6"/>
    <w:rsid w:val="00CF54E5"/>
    <w:rsid w:val="00D015D9"/>
    <w:rsid w:val="00D10117"/>
    <w:rsid w:val="00D37198"/>
    <w:rsid w:val="00D41788"/>
    <w:rsid w:val="00D50F8F"/>
    <w:rsid w:val="00D63911"/>
    <w:rsid w:val="00D63FAE"/>
    <w:rsid w:val="00D80921"/>
    <w:rsid w:val="00D83216"/>
    <w:rsid w:val="00D856E8"/>
    <w:rsid w:val="00DA1E5C"/>
    <w:rsid w:val="00DB366B"/>
    <w:rsid w:val="00DB5F8C"/>
    <w:rsid w:val="00DD5A62"/>
    <w:rsid w:val="00DF5D20"/>
    <w:rsid w:val="00E10770"/>
    <w:rsid w:val="00E16401"/>
    <w:rsid w:val="00E53013"/>
    <w:rsid w:val="00E6286A"/>
    <w:rsid w:val="00E67E96"/>
    <w:rsid w:val="00E74DEB"/>
    <w:rsid w:val="00E80C5B"/>
    <w:rsid w:val="00E96157"/>
    <w:rsid w:val="00EA79A3"/>
    <w:rsid w:val="00EF2AE9"/>
    <w:rsid w:val="00F15AC1"/>
    <w:rsid w:val="00F44BE9"/>
    <w:rsid w:val="00F87E5F"/>
    <w:rsid w:val="00F94411"/>
    <w:rsid w:val="00FA7DD4"/>
    <w:rsid w:val="00FB2999"/>
    <w:rsid w:val="00FC277F"/>
    <w:rsid w:val="00FD4F5E"/>
    <w:rsid w:val="00FE0745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67EBF-B819-40FA-BAC2-E06B6CC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67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7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5C4732"/>
    <w:pPr>
      <w:keepNext/>
      <w:jc w:val="center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CC67BF"/>
    <w:pPr>
      <w:widowControl w:val="0"/>
      <w:spacing w:after="120" w:line="300" w:lineRule="auto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CC67BF"/>
    <w:rPr>
      <w:rFonts w:ascii="Times New Roman" w:eastAsia="Times New Roman" w:hAnsi="Times New Roman" w:cs="Times New Roman"/>
      <w:lang w:eastAsia="ar-SA"/>
    </w:rPr>
  </w:style>
  <w:style w:type="paragraph" w:styleId="a7">
    <w:name w:val="Date"/>
    <w:basedOn w:val="a"/>
    <w:next w:val="a"/>
    <w:link w:val="a8"/>
    <w:unhideWhenUsed/>
    <w:rsid w:val="008F57E6"/>
    <w:pPr>
      <w:suppressAutoHyphens w:val="0"/>
    </w:pPr>
    <w:rPr>
      <w:lang w:eastAsia="ru-RU"/>
    </w:rPr>
  </w:style>
  <w:style w:type="character" w:customStyle="1" w:styleId="a8">
    <w:name w:val="Дата Знак"/>
    <w:basedOn w:val="a0"/>
    <w:link w:val="a7"/>
    <w:rsid w:val="008F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067F6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 текст 2"/>
    <w:basedOn w:val="a5"/>
    <w:rsid w:val="00A067F6"/>
    <w:pPr>
      <w:widowControl/>
      <w:suppressAutoHyphens w:val="0"/>
      <w:spacing w:after="0" w:line="240" w:lineRule="auto"/>
      <w:jc w:val="both"/>
    </w:pPr>
    <w:rPr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A067F6"/>
    <w:pPr>
      <w:widowControl w:val="0"/>
      <w:spacing w:after="120" w:line="300" w:lineRule="auto"/>
      <w:ind w:left="283" w:hanging="480"/>
    </w:pPr>
    <w:rPr>
      <w:sz w:val="22"/>
      <w:szCs w:val="22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A067F6"/>
    <w:rPr>
      <w:rFonts w:ascii="Times New Roman" w:eastAsia="Times New Roman" w:hAnsi="Times New Roman" w:cs="Times New Roman"/>
      <w:lang w:eastAsia="zh-CN"/>
    </w:rPr>
  </w:style>
  <w:style w:type="character" w:customStyle="1" w:styleId="10">
    <w:name w:val="Заголовок 1 Знак"/>
    <w:basedOn w:val="a0"/>
    <w:link w:val="1"/>
    <w:rsid w:val="00A067F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s3">
    <w:name w:val="s3"/>
    <w:rsid w:val="00A067F6"/>
  </w:style>
  <w:style w:type="character" w:styleId="ab">
    <w:name w:val="Hyperlink"/>
    <w:rsid w:val="00A067F6"/>
    <w:rPr>
      <w:color w:val="0000FF"/>
      <w:u w:val="single"/>
    </w:rPr>
  </w:style>
  <w:style w:type="character" w:customStyle="1" w:styleId="blk3">
    <w:name w:val="blk3"/>
    <w:rsid w:val="009D4D0C"/>
    <w:rPr>
      <w:vanish w:val="0"/>
      <w:webHidden w:val="0"/>
      <w:specVanish w:val="0"/>
    </w:rPr>
  </w:style>
  <w:style w:type="paragraph" w:styleId="ac">
    <w:name w:val="header"/>
    <w:basedOn w:val="a"/>
    <w:link w:val="ad"/>
    <w:uiPriority w:val="99"/>
    <w:unhideWhenUsed/>
    <w:rsid w:val="00D015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15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015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5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724D-0DE4-455B-AA75-D46DEE98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Акульшина</dc:creator>
  <cp:keywords/>
  <dc:description/>
  <cp:lastModifiedBy>Выскубов Владислав Валерьевич</cp:lastModifiedBy>
  <cp:revision>103</cp:revision>
  <cp:lastPrinted>2023-06-05T09:06:00Z</cp:lastPrinted>
  <dcterms:created xsi:type="dcterms:W3CDTF">2019-05-29T07:28:00Z</dcterms:created>
  <dcterms:modified xsi:type="dcterms:W3CDTF">2023-09-14T11:48:00Z</dcterms:modified>
</cp:coreProperties>
</file>