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77B1C">
        <w:rPr>
          <w:rFonts w:ascii="Times New Roman" w:hAnsi="Times New Roman" w:cs="Times New Roman"/>
          <w:b/>
          <w:color w:val="000000"/>
        </w:rPr>
        <w:t>21</w:t>
      </w:r>
      <w:r w:rsidR="00F57904">
        <w:rPr>
          <w:rFonts w:ascii="Times New Roman" w:hAnsi="Times New Roman" w:cs="Times New Roman"/>
          <w:b/>
          <w:color w:val="000000"/>
        </w:rPr>
        <w:t>9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041098" w:rsidRPr="002560F1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91D6F" w:rsidRPr="00191D6F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Поставка технических средств реабилитации специальных средств при нарушении функций выделения (средств по уходу за </w:t>
      </w:r>
      <w:proofErr w:type="spellStart"/>
      <w:r w:rsidR="00191D6F" w:rsidRPr="00191D6F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стомой</w:t>
      </w:r>
      <w:proofErr w:type="spellEnd"/>
      <w:r w:rsidR="00191D6F" w:rsidRPr="00191D6F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) для обеспечения ими инвалидов в 2022 году</w:t>
      </w:r>
      <w:r w:rsidR="00560004" w:rsidRPr="002560F1">
        <w:rPr>
          <w:rFonts w:ascii="Times New Roman" w:hAnsi="Times New Roman" w:cs="Times New Roman"/>
        </w:rPr>
        <w:t>.</w:t>
      </w:r>
    </w:p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9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11"/>
        <w:gridCol w:w="3232"/>
        <w:gridCol w:w="5958"/>
        <w:gridCol w:w="997"/>
      </w:tblGrid>
      <w:tr w:rsidR="00191D6F" w:rsidRPr="00EE468E" w:rsidTr="00822FA1">
        <w:trPr>
          <w:trHeight w:val="49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Кол-во (шт.)</w:t>
            </w:r>
          </w:p>
        </w:tc>
      </w:tr>
      <w:tr w:rsidR="00191D6F" w:rsidRPr="00191D6F" w:rsidTr="00822FA1">
        <w:trPr>
          <w:trHeight w:val="7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Паста-герметик для защиты и выравнивания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тубе, не менее 60 г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Паста -герметик для защиты и выравнивания кожи, применяется для защиты кожи от воздействия вредных выделений из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при недержании. Форма выпуска-тюбик 60 гр.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3650</w:t>
            </w:r>
          </w:p>
        </w:tc>
      </w:tr>
      <w:tr w:rsidR="00191D6F" w:rsidRPr="00191D6F" w:rsidTr="00822FA1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Паста-герметик для защиты и выравнивания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полосках, не менее 60 г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Паста-герметик предназначена для выравнивания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при наличии неровностей (рубцов, складок) перед фиксацией калоприемника/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уроприемника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Форма поставки – полоски в упаковке (коробке). Объем одной упаковки (коробки) 60 г.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Справочно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при поставке пасты-герметика для защиты и выравнивания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полосках, под единицей Товара – «штука» в столбце «Количество» настоящей таблицы подразумевается единица поставляемого Товара – полоска не менее 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1940</w:t>
            </w:r>
          </w:p>
        </w:tc>
      </w:tr>
      <w:tr w:rsidR="00191D6F" w:rsidRPr="00191D6F" w:rsidTr="00822FA1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Крем защитный в тубе, не менее 60 мл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Защитный крем применяется для предохранения кожи от воздействия вредных выделений из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при недержании. Форма выпуска-тюбик 60 мл.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4222</w:t>
            </w:r>
          </w:p>
        </w:tc>
      </w:tr>
      <w:tr w:rsidR="00191D6F" w:rsidRPr="00191D6F" w:rsidTr="00822FA1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Защитная пленка во флаконе, не менее 50 мл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Защитная </w:t>
            </w:r>
            <w:proofErr w:type="gram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пленка  -</w:t>
            </w:r>
            <w:proofErr w:type="gram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это прозрачная светло-желтая жидкость, с характерным запахом.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</w:t>
            </w:r>
            <w:proofErr w:type="gram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агрессивного воздействия мочи</w:t>
            </w:r>
            <w:proofErr w:type="gram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кала. Форма выпуска -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флокон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не менее 50 мл.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2977</w:t>
            </w:r>
          </w:p>
        </w:tc>
      </w:tr>
      <w:tr w:rsidR="00191D6F" w:rsidRPr="00191D6F" w:rsidTr="00822FA1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Очиститель для кожи во флаконе, не менее 180 мл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Очиститель для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очищающее средство, растворители и другие агрессивные или высушивающие кожу вещества, удаляющее остатки пасты,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адгезивов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других средств ухода за кожей. Форма выпуска - флакон 180 мл.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6883</w:t>
            </w:r>
          </w:p>
        </w:tc>
      </w:tr>
      <w:tr w:rsidR="00191D6F" w:rsidRPr="00191D6F" w:rsidTr="00822FA1">
        <w:trPr>
          <w:trHeight w:val="7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Пудра (порошок) абсорбирующая в тубе, не менее 25 г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Пудра</w:t>
            </w:r>
            <w:proofErr w:type="gram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абсорбирующая обладает рассыпчатой консистенцией. Порошок наносится на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перистомальную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кожу перед наложением адгезивной пластины. Порошок способствует заживлению кожи вокруг </w:t>
            </w:r>
            <w:proofErr w:type="spellStart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стомы</w:t>
            </w:r>
            <w:proofErr w:type="spellEnd"/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, а также более длительному ношению калоприемника. Форма выпуска - флакон 25 гр.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191D6F" w:rsidRDefault="00191D6F" w:rsidP="00191D6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91D6F">
              <w:rPr>
                <w:rFonts w:ascii="Times New Roman" w:hAnsi="Times New Roman"/>
                <w:color w:val="000000"/>
                <w:sz w:val="21"/>
                <w:szCs w:val="21"/>
              </w:rPr>
              <w:t>1623</w:t>
            </w:r>
          </w:p>
        </w:tc>
      </w:tr>
      <w:tr w:rsidR="00191D6F" w:rsidRPr="00EE468E" w:rsidTr="00822FA1">
        <w:trPr>
          <w:trHeight w:val="258"/>
        </w:trPr>
        <w:tc>
          <w:tcPr>
            <w:tcW w:w="9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D6F" w:rsidRPr="00EE468E" w:rsidRDefault="00191D6F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E468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D6F" w:rsidRPr="00EE468E" w:rsidRDefault="00DD58FC" w:rsidP="00EE46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21 295</w:t>
            </w:r>
            <w:bookmarkStart w:id="0" w:name="_GoBack"/>
            <w:bookmarkEnd w:id="0"/>
          </w:p>
        </w:tc>
      </w:tr>
    </w:tbl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1D6F" w:rsidRPr="00191D6F" w:rsidRDefault="00191D6F" w:rsidP="00191D6F">
      <w:pPr>
        <w:keepNext/>
        <w:widowControl w:val="0"/>
        <w:tabs>
          <w:tab w:val="left" w:pos="-142"/>
        </w:tabs>
        <w:suppressAutoHyphens/>
        <w:spacing w:after="0" w:line="240" w:lineRule="auto"/>
        <w:ind w:left="-426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191D6F">
        <w:rPr>
          <w:rFonts w:ascii="Times New Roman" w:eastAsia="Arial Unicode MS" w:hAnsi="Times New Roman" w:cs="Times New Roman"/>
          <w:b/>
          <w:kern w:val="1"/>
        </w:rPr>
        <w:t>Требования к качеству, техническим, функциональным характеристикам</w:t>
      </w:r>
    </w:p>
    <w:p w:rsidR="00191D6F" w:rsidRPr="00191D6F" w:rsidRDefault="00191D6F" w:rsidP="00191D6F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ab/>
        <w:t>Специальные средства при нарушениях функций выделения используется для защиты от непроизвольного опорожнения кишечника у больных с недержанием кала, а также больных с отведением мочи в непрерывный кишечник. Обычно пациент использует изделие самостоятельно. Это изделие одноразового использования.</w:t>
      </w:r>
    </w:p>
    <w:p w:rsidR="00191D6F" w:rsidRPr="00191D6F" w:rsidRDefault="00191D6F" w:rsidP="00191D6F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ab/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191D6F" w:rsidRPr="00191D6F" w:rsidRDefault="00191D6F" w:rsidP="00191D6F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91D6F" w:rsidRPr="00191D6F" w:rsidRDefault="00191D6F" w:rsidP="00191D6F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ab/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191D6F">
        <w:rPr>
          <w:rFonts w:ascii="Times New Roman" w:eastAsia="Arial Unicode MS" w:hAnsi="Times New Roman" w:cs="Times New Roman"/>
          <w:kern w:val="1"/>
        </w:rPr>
        <w:t>генотоксичности</w:t>
      </w:r>
      <w:proofErr w:type="spellEnd"/>
      <w:r w:rsidRPr="00191D6F">
        <w:rPr>
          <w:rFonts w:ascii="Times New Roman" w:eastAsia="Arial Unicode MS" w:hAnsi="Times New Roman" w:cs="Times New Roman"/>
          <w:kern w:val="1"/>
        </w:rPr>
        <w:t xml:space="preserve">, </w:t>
      </w:r>
      <w:proofErr w:type="spellStart"/>
      <w:r w:rsidRPr="00191D6F">
        <w:rPr>
          <w:rFonts w:ascii="Times New Roman" w:eastAsia="Arial Unicode MS" w:hAnsi="Times New Roman" w:cs="Times New Roman"/>
          <w:kern w:val="1"/>
        </w:rPr>
        <w:t>канцерогенности</w:t>
      </w:r>
      <w:proofErr w:type="spellEnd"/>
      <w:r w:rsidRPr="00191D6F">
        <w:rPr>
          <w:rFonts w:ascii="Times New Roman" w:eastAsia="Arial Unicode MS" w:hAnsi="Times New Roman" w:cs="Times New Roman"/>
          <w:kern w:val="1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</w:t>
      </w:r>
      <w:r w:rsidRPr="00191D6F">
        <w:rPr>
          <w:rFonts w:ascii="Times New Roman" w:eastAsia="Arial Unicode MS" w:hAnsi="Times New Roman" w:cs="Times New Roman"/>
          <w:kern w:val="1"/>
        </w:rPr>
        <w:lastRenderedPageBreak/>
        <w:t xml:space="preserve">Исследования на </w:t>
      </w:r>
      <w:proofErr w:type="spellStart"/>
      <w:r w:rsidRPr="00191D6F">
        <w:rPr>
          <w:rFonts w:ascii="Times New Roman" w:eastAsia="Arial Unicode MS" w:hAnsi="Times New Roman" w:cs="Times New Roman"/>
          <w:kern w:val="1"/>
        </w:rPr>
        <w:t>цитотоксичность</w:t>
      </w:r>
      <w:proofErr w:type="spellEnd"/>
      <w:r w:rsidRPr="00191D6F">
        <w:rPr>
          <w:rFonts w:ascii="Times New Roman" w:eastAsia="Arial Unicode MS" w:hAnsi="Times New Roman" w:cs="Times New Roman"/>
          <w:kern w:val="1"/>
        </w:rPr>
        <w:t>: методы «</w:t>
      </w:r>
      <w:proofErr w:type="spellStart"/>
      <w:r w:rsidRPr="00191D6F">
        <w:rPr>
          <w:rFonts w:ascii="Times New Roman" w:eastAsia="Arial Unicode MS" w:hAnsi="Times New Roman" w:cs="Times New Roman"/>
          <w:kern w:val="1"/>
        </w:rPr>
        <w:t>in</w:t>
      </w:r>
      <w:proofErr w:type="spellEnd"/>
      <w:r w:rsidRPr="00191D6F">
        <w:rPr>
          <w:rFonts w:ascii="Times New Roman" w:eastAsia="Arial Unicode MS" w:hAnsi="Times New Roman" w:cs="Times New Roman"/>
          <w:kern w:val="1"/>
        </w:rPr>
        <w:t xml:space="preserve"> </w:t>
      </w:r>
      <w:proofErr w:type="spellStart"/>
      <w:r w:rsidRPr="00191D6F">
        <w:rPr>
          <w:rFonts w:ascii="Times New Roman" w:eastAsia="Arial Unicode MS" w:hAnsi="Times New Roman" w:cs="Times New Roman"/>
          <w:kern w:val="1"/>
        </w:rPr>
        <w:t>vitro</w:t>
      </w:r>
      <w:proofErr w:type="spellEnd"/>
      <w:r w:rsidRPr="00191D6F">
        <w:rPr>
          <w:rFonts w:ascii="Times New Roman" w:eastAsia="Arial Unicode MS" w:hAnsi="Times New Roman" w:cs="Times New Roman"/>
          <w:kern w:val="1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191D6F" w:rsidRPr="00191D6F" w:rsidRDefault="00191D6F" w:rsidP="00191D6F">
      <w:pPr>
        <w:widowControl w:val="0"/>
        <w:shd w:val="clear" w:color="auto" w:fill="FFFFFF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191D6F">
        <w:rPr>
          <w:rFonts w:ascii="Times New Roman" w:eastAsia="Arial Unicode MS" w:hAnsi="Times New Roman" w:cs="Times New Roman"/>
          <w:kern w:val="1"/>
        </w:rPr>
        <w:t>2021</w:t>
      </w:r>
      <w:r w:rsidRPr="00191D6F">
        <w:rPr>
          <w:rFonts w:ascii="Times New Roman" w:eastAsia="Calibri" w:hAnsi="Times New Roman" w:cs="Times New Roman"/>
          <w:kern w:val="1"/>
        </w:rPr>
        <w:t xml:space="preserve"> </w:t>
      </w:r>
      <w:r w:rsidRPr="00191D6F">
        <w:rPr>
          <w:rFonts w:ascii="Times New Roman" w:eastAsia="Arial Unicode MS" w:hAnsi="Times New Roman" w:cs="Times New Roman"/>
          <w:kern w:val="1"/>
        </w:rPr>
        <w:t xml:space="preserve"> «</w:t>
      </w:r>
      <w:proofErr w:type="gramEnd"/>
      <w:r w:rsidRPr="00191D6F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91D6F" w:rsidRPr="00191D6F" w:rsidRDefault="00191D6F" w:rsidP="00191D6F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191D6F">
        <w:rPr>
          <w:rFonts w:ascii="Times New Roman" w:eastAsia="Arial Unicode MS" w:hAnsi="Times New Roman" w:cs="Times New Roman"/>
          <w:kern w:val="1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191D6F" w:rsidRPr="00191D6F" w:rsidRDefault="00191D6F" w:rsidP="0019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b/>
          <w:bCs/>
          <w:lang w:eastAsia="ru-RU"/>
        </w:rPr>
        <w:t>Требования к размерам, упаковке и отгрузке товара</w:t>
      </w:r>
      <w:r w:rsidRPr="00191D6F">
        <w:rPr>
          <w:rFonts w:ascii="Times New Roman" w:eastAsia="Times New Roman" w:hAnsi="Times New Roman" w:cs="Times New Roman"/>
          <w:lang w:eastAsia="ru-RU"/>
        </w:rPr>
        <w:t>.</w:t>
      </w:r>
    </w:p>
    <w:p w:rsidR="00191D6F" w:rsidRPr="00191D6F" w:rsidRDefault="00191D6F" w:rsidP="0019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191D6F" w:rsidRPr="00191D6F" w:rsidRDefault="00191D6F" w:rsidP="0019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91D6F" w:rsidRPr="00191D6F" w:rsidRDefault="00191D6F" w:rsidP="0019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>Маркировка упаковки калоприемников должна включать: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страну-изготовителя;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191D6F">
        <w:rPr>
          <w:rFonts w:ascii="Times New Roman" w:eastAsia="Times New Roman" w:hAnsi="Times New Roman" w:cs="Times New Roman"/>
          <w:lang w:eastAsia="ru-RU"/>
        </w:rPr>
        <w:tab/>
        <w:t xml:space="preserve"> наличии);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номер артикула (при наличии);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количество изделий в упаковке;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дату (месяц, год) изготовления и срок годности;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правила использования (при необходимости);</w:t>
      </w:r>
    </w:p>
    <w:p w:rsidR="00191D6F" w:rsidRPr="00191D6F" w:rsidRDefault="00191D6F" w:rsidP="00191D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1D6F">
        <w:rPr>
          <w:rFonts w:ascii="Times New Roman" w:eastAsia="Times New Roman" w:hAnsi="Times New Roman" w:cs="Times New Roman"/>
          <w:lang w:eastAsia="ru-RU"/>
        </w:rPr>
        <w:tab/>
        <w:t>- штриховой код изделия (при наличии).</w:t>
      </w:r>
    </w:p>
    <w:p w:rsidR="00191D6F" w:rsidRDefault="00191D6F" w:rsidP="004F5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1D6F" w:rsidRPr="00191D6F" w:rsidRDefault="00191D6F" w:rsidP="00191D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1D6F">
        <w:rPr>
          <w:rFonts w:ascii="Times New Roman" w:hAnsi="Times New Roman" w:cs="Times New Roman"/>
          <w:b/>
          <w:bCs/>
        </w:rPr>
        <w:t xml:space="preserve">Сроки гарантии - </w:t>
      </w:r>
      <w:r w:rsidRPr="00191D6F">
        <w:rPr>
          <w:rFonts w:ascii="Times New Roman" w:hAnsi="Times New Roman" w:cs="Times New Roman"/>
          <w:bCs/>
        </w:rPr>
        <w:t>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191D6F" w:rsidRDefault="00191D6F" w:rsidP="00191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709F9" w:rsidRPr="004F53F7" w:rsidRDefault="00191D6F" w:rsidP="00191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1D6F">
        <w:rPr>
          <w:rFonts w:ascii="Times New Roman" w:hAnsi="Times New Roman" w:cs="Times New Roman"/>
          <w:b/>
          <w:bCs/>
        </w:rPr>
        <w:t xml:space="preserve">Срок годности </w:t>
      </w:r>
      <w:r w:rsidRPr="00191D6F">
        <w:rPr>
          <w:rFonts w:ascii="Times New Roman" w:hAnsi="Times New Roman" w:cs="Times New Roman"/>
          <w:bCs/>
        </w:rPr>
        <w:t>продукции на момент выдачи изделий должен быть не менее 1 года.</w:t>
      </w:r>
    </w:p>
    <w:sectPr w:rsidR="002709F9" w:rsidRPr="004F53F7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91D6F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E432B"/>
    <w:rsid w:val="007E455E"/>
    <w:rsid w:val="007E7C31"/>
    <w:rsid w:val="007F5BF7"/>
    <w:rsid w:val="00806A61"/>
    <w:rsid w:val="008144BF"/>
    <w:rsid w:val="008173DB"/>
    <w:rsid w:val="00822FA1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F444C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58FC"/>
    <w:rsid w:val="00DD6D6A"/>
    <w:rsid w:val="00DE1853"/>
    <w:rsid w:val="00E67908"/>
    <w:rsid w:val="00E8392A"/>
    <w:rsid w:val="00E92D49"/>
    <w:rsid w:val="00EC4199"/>
    <w:rsid w:val="00ED13B0"/>
    <w:rsid w:val="00EE468E"/>
    <w:rsid w:val="00EF5C2E"/>
    <w:rsid w:val="00F17AB1"/>
    <w:rsid w:val="00F27E41"/>
    <w:rsid w:val="00F57904"/>
    <w:rsid w:val="00F76B92"/>
    <w:rsid w:val="00F86F66"/>
    <w:rsid w:val="00F9584C"/>
    <w:rsid w:val="00F96957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BCD6-5A32-4BB8-A2E8-2C64DA6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268</cp:revision>
  <cp:lastPrinted>2022-09-14T04:53:00Z</cp:lastPrinted>
  <dcterms:created xsi:type="dcterms:W3CDTF">2022-01-20T04:41:00Z</dcterms:created>
  <dcterms:modified xsi:type="dcterms:W3CDTF">2022-09-14T05:57:00Z</dcterms:modified>
</cp:coreProperties>
</file>