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98" w:rsidRPr="006D0B98" w:rsidRDefault="006D0B98" w:rsidP="006D0B98">
      <w:pPr>
        <w:widowControl w:val="0"/>
        <w:autoSpaceDE w:val="0"/>
        <w:autoSpaceDN w:val="0"/>
        <w:adjustRightInd w:val="0"/>
        <w:spacing w:line="192" w:lineRule="auto"/>
        <w:jc w:val="right"/>
        <w:rPr>
          <w:rFonts w:eastAsia="Times New Roman"/>
          <w:i/>
        </w:rPr>
      </w:pPr>
      <w:r w:rsidRPr="006D0B98">
        <w:rPr>
          <w:rFonts w:eastAsia="Times New Roman"/>
          <w:i/>
        </w:rPr>
        <w:t>Приложение №</w:t>
      </w:r>
      <w:r>
        <w:rPr>
          <w:rFonts w:eastAsia="Times New Roman"/>
          <w:i/>
        </w:rPr>
        <w:t>1</w:t>
      </w:r>
    </w:p>
    <w:p w:rsidR="006D0B98" w:rsidRDefault="006D0B98" w:rsidP="006D0B98">
      <w:pPr>
        <w:widowControl w:val="0"/>
        <w:spacing w:line="192" w:lineRule="auto"/>
        <w:ind w:right="-24"/>
        <w:jc w:val="right"/>
        <w:rPr>
          <w:b/>
          <w:caps/>
          <w:lang w:eastAsia="ar-SA"/>
        </w:rPr>
      </w:pPr>
      <w:r w:rsidRPr="006D0B98">
        <w:rPr>
          <w:rFonts w:eastAsia="Times New Roman"/>
          <w:i/>
        </w:rPr>
        <w:t>к извещению о проведении закупки</w:t>
      </w:r>
      <w:r w:rsidRPr="0039310C">
        <w:rPr>
          <w:b/>
          <w:caps/>
          <w:lang w:eastAsia="ar-SA"/>
        </w:rPr>
        <w:t xml:space="preserve"> </w:t>
      </w:r>
    </w:p>
    <w:p w:rsidR="006D0B98" w:rsidRDefault="006D0B98" w:rsidP="006D0B98">
      <w:pPr>
        <w:widowControl w:val="0"/>
        <w:spacing w:line="192" w:lineRule="auto"/>
        <w:ind w:right="-24"/>
        <w:jc w:val="center"/>
        <w:rPr>
          <w:b/>
          <w:caps/>
          <w:lang w:eastAsia="ar-SA"/>
        </w:rPr>
      </w:pPr>
    </w:p>
    <w:p w:rsidR="00805BAF" w:rsidRDefault="0039310C" w:rsidP="006D0B98">
      <w:pPr>
        <w:widowControl w:val="0"/>
        <w:spacing w:line="192" w:lineRule="auto"/>
        <w:ind w:right="-24"/>
        <w:jc w:val="center"/>
        <w:rPr>
          <w:rFonts w:eastAsia="Times New Roman"/>
          <w:b/>
        </w:rPr>
      </w:pPr>
      <w:r w:rsidRPr="0039310C">
        <w:rPr>
          <w:b/>
          <w:caps/>
          <w:lang w:eastAsia="ar-SA"/>
        </w:rPr>
        <w:t>Т</w:t>
      </w:r>
      <w:r w:rsidR="00F052E1" w:rsidRPr="00805BAF">
        <w:rPr>
          <w:rFonts w:eastAsia="Times New Roman"/>
          <w:b/>
        </w:rPr>
        <w:t>ехническое задание</w:t>
      </w:r>
    </w:p>
    <w:p w:rsidR="00A66955" w:rsidRPr="00A66955" w:rsidRDefault="00A66955" w:rsidP="00A66955">
      <w:pPr>
        <w:widowControl w:val="0"/>
        <w:ind w:right="-24"/>
        <w:jc w:val="center"/>
        <w:rPr>
          <w:rFonts w:eastAsia="Times New Roman"/>
          <w:b/>
        </w:rPr>
      </w:pPr>
      <w:r w:rsidRPr="00A66955">
        <w:rPr>
          <w:rFonts w:eastAsia="Times New Roman"/>
          <w:b/>
        </w:rPr>
        <w:t>на выполнение работ в 2023 году по изготовлени</w:t>
      </w:r>
      <w:r w:rsidR="00E71228">
        <w:rPr>
          <w:rFonts w:eastAsia="Times New Roman"/>
          <w:b/>
        </w:rPr>
        <w:t xml:space="preserve">ю протезов нижних конечностей </w:t>
      </w:r>
      <w:r w:rsidRPr="00A66955">
        <w:rPr>
          <w:rFonts w:eastAsia="Times New Roman"/>
          <w:b/>
        </w:rPr>
        <w:t>(далее – Изделия) для пострадавших от несч</w:t>
      </w:r>
      <w:r w:rsidR="00E71228">
        <w:rPr>
          <w:rFonts w:eastAsia="Times New Roman"/>
          <w:b/>
        </w:rPr>
        <w:t xml:space="preserve">астных случаев на производстве </w:t>
      </w:r>
      <w:r w:rsidRPr="00A66955">
        <w:rPr>
          <w:rFonts w:eastAsia="Times New Roman"/>
          <w:b/>
        </w:rPr>
        <w:t xml:space="preserve">и профессиональных заболеваний (далее – Получатели) </w:t>
      </w:r>
    </w:p>
    <w:p w:rsidR="00A66955" w:rsidRPr="00A66955" w:rsidRDefault="00A66955" w:rsidP="00A66955">
      <w:pPr>
        <w:widowControl w:val="0"/>
        <w:ind w:right="-24"/>
        <w:jc w:val="center"/>
        <w:rPr>
          <w:rFonts w:eastAsia="Times New Roman"/>
          <w:b/>
        </w:rPr>
      </w:pPr>
    </w:p>
    <w:p w:rsidR="00A66955" w:rsidRPr="00A66955" w:rsidRDefault="00A66955" w:rsidP="00A66955">
      <w:pPr>
        <w:ind w:right="-24"/>
        <w:jc w:val="both"/>
        <w:rPr>
          <w:rFonts w:eastAsia="Times New Roman"/>
          <w:color w:val="000000" w:themeColor="text1"/>
        </w:rPr>
      </w:pPr>
      <w:r w:rsidRPr="00A66955">
        <w:rPr>
          <w:b/>
        </w:rPr>
        <w:t xml:space="preserve">Срок </w:t>
      </w:r>
      <w:r w:rsidRPr="00A66955">
        <w:rPr>
          <w:b/>
          <w:color w:val="000000" w:themeColor="text1"/>
        </w:rPr>
        <w:t>выполнения работ:</w:t>
      </w:r>
      <w:r w:rsidR="008D2D97">
        <w:rPr>
          <w:color w:val="000000" w:themeColor="text1"/>
        </w:rPr>
        <w:t xml:space="preserve"> с даты </w:t>
      </w:r>
      <w:bookmarkStart w:id="0" w:name="_GoBack"/>
      <w:bookmarkEnd w:id="0"/>
      <w:r w:rsidRPr="00A66955">
        <w:rPr>
          <w:color w:val="000000" w:themeColor="text1"/>
        </w:rPr>
        <w:t>заключен</w:t>
      </w:r>
      <w:r w:rsidR="00E71228">
        <w:rPr>
          <w:color w:val="000000" w:themeColor="text1"/>
        </w:rPr>
        <w:t>ия государственного контракта, д</w:t>
      </w:r>
      <w:r w:rsidRPr="00A66955">
        <w:rPr>
          <w:color w:val="000000" w:themeColor="text1"/>
        </w:rPr>
        <w:t xml:space="preserve">о </w:t>
      </w:r>
      <w:r w:rsidR="00E71228">
        <w:rPr>
          <w:rFonts w:eastAsia="Times New Roman"/>
          <w:color w:val="000000" w:themeColor="text1"/>
        </w:rPr>
        <w:t>«30»</w:t>
      </w:r>
      <w:r w:rsidRPr="00A66955">
        <w:rPr>
          <w:rFonts w:eastAsia="Times New Roman"/>
          <w:color w:val="000000" w:themeColor="text1"/>
        </w:rPr>
        <w:t xml:space="preserve"> октября 2023 года (включительно).</w:t>
      </w:r>
    </w:p>
    <w:p w:rsidR="00A66955" w:rsidRPr="00A66955" w:rsidRDefault="00A66955" w:rsidP="00A66955">
      <w:pPr>
        <w:ind w:right="-24"/>
        <w:jc w:val="both"/>
        <w:rPr>
          <w:color w:val="000000" w:themeColor="text1"/>
        </w:rPr>
      </w:pPr>
      <w:r w:rsidRPr="00A66955">
        <w:rPr>
          <w:b/>
          <w:color w:val="000000" w:themeColor="text1"/>
        </w:rPr>
        <w:t>Сроки завершения работы:</w:t>
      </w:r>
      <w:r w:rsidRPr="00A66955">
        <w:rPr>
          <w:color w:val="000000" w:themeColor="text1"/>
        </w:rPr>
        <w:t xml:space="preserve"> </w:t>
      </w:r>
      <w:r w:rsidR="00E71228">
        <w:rPr>
          <w:rFonts w:eastAsia="Times New Roman"/>
          <w:color w:val="000000" w:themeColor="text1"/>
        </w:rPr>
        <w:t>до «30»</w:t>
      </w:r>
      <w:r w:rsidRPr="00A66955">
        <w:rPr>
          <w:rFonts w:eastAsia="Times New Roman"/>
          <w:color w:val="000000" w:themeColor="text1"/>
        </w:rPr>
        <w:t xml:space="preserve"> октября 2023 года (включительно).</w:t>
      </w:r>
    </w:p>
    <w:p w:rsidR="00A66955" w:rsidRPr="00A66955" w:rsidRDefault="00A66955" w:rsidP="00A66955">
      <w:pPr>
        <w:jc w:val="both"/>
        <w:rPr>
          <w:rFonts w:eastAsia="Times New Roman"/>
        </w:rPr>
      </w:pPr>
      <w:r w:rsidRPr="00A66955">
        <w:rPr>
          <w:color w:val="000000" w:themeColor="text1"/>
          <w:lang w:eastAsia="en-US"/>
        </w:rPr>
        <w:t>1.</w:t>
      </w:r>
      <w:r w:rsidRPr="00A66955">
        <w:rPr>
          <w:rFonts w:eastAsia="Times New Roman"/>
          <w:color w:val="000000" w:themeColor="text1"/>
        </w:rPr>
        <w:t xml:space="preserve">Исполнитель обязан обеспечить выполнение работ по наименованию, в количестве и в сроки, предъявляемыми в настоящем техническом задании, в период действия </w:t>
      </w:r>
      <w:r w:rsidRPr="00A66955">
        <w:rPr>
          <w:rFonts w:eastAsia="Times New Roman"/>
        </w:rPr>
        <w:t>государственного контракта.</w:t>
      </w:r>
    </w:p>
    <w:p w:rsidR="00A66955" w:rsidRPr="00A66955" w:rsidRDefault="00A66955" w:rsidP="00A66955">
      <w:pPr>
        <w:ind w:right="-24"/>
        <w:jc w:val="both"/>
        <w:rPr>
          <w:lang w:eastAsia="en-US"/>
        </w:rPr>
      </w:pPr>
      <w:r w:rsidRPr="00A66955">
        <w:rPr>
          <w:lang w:eastAsia="en-US"/>
        </w:rPr>
        <w:t>2. Изделия должны отвечать следующим требованиям:</w:t>
      </w:r>
    </w:p>
    <w:p w:rsidR="00A66955" w:rsidRPr="00A66955" w:rsidRDefault="00A66955" w:rsidP="00A66955">
      <w:pPr>
        <w:ind w:left="720" w:right="-24"/>
        <w:contextualSpacing/>
        <w:jc w:val="both"/>
        <w:rPr>
          <w:lang w:eastAsia="en-US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6946"/>
        <w:gridCol w:w="1275"/>
      </w:tblGrid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3B2B16" w:rsidRDefault="009A5BCD" w:rsidP="00A66955">
            <w:pPr>
              <w:rPr>
                <w:rFonts w:eastAsia="Times New Roman"/>
              </w:rPr>
            </w:pPr>
            <w:r w:rsidRPr="003B2B16">
              <w:rPr>
                <w:rFonts w:eastAsia="Times New Roman"/>
              </w:rPr>
              <w:t>№</w:t>
            </w:r>
          </w:p>
          <w:p w:rsidR="009A5BCD" w:rsidRPr="003B2B16" w:rsidRDefault="009A5BCD" w:rsidP="00A66955">
            <w:pPr>
              <w:rPr>
                <w:rFonts w:eastAsia="Times New Roman"/>
              </w:rPr>
            </w:pPr>
            <w:r w:rsidRPr="003B2B16">
              <w:rPr>
                <w:rFonts w:eastAsia="Times New Roman"/>
              </w:rPr>
              <w:t>п/п</w:t>
            </w:r>
          </w:p>
        </w:tc>
        <w:tc>
          <w:tcPr>
            <w:tcW w:w="1559" w:type="dxa"/>
          </w:tcPr>
          <w:p w:rsidR="009A5BCD" w:rsidRPr="003B2B16" w:rsidRDefault="009A5BCD" w:rsidP="009A5BCD">
            <w:pPr>
              <w:rPr>
                <w:rFonts w:eastAsia="Times New Roman"/>
              </w:rPr>
            </w:pPr>
            <w:r w:rsidRPr="003B2B16">
              <w:rPr>
                <w:rFonts w:eastAsia="Times New Roman"/>
              </w:rPr>
              <w:t>Наименование Изделия</w:t>
            </w:r>
          </w:p>
        </w:tc>
        <w:tc>
          <w:tcPr>
            <w:tcW w:w="6946" w:type="dxa"/>
            <w:shd w:val="clear" w:color="auto" w:fill="auto"/>
          </w:tcPr>
          <w:p w:rsidR="009A5BCD" w:rsidRPr="003B2B16" w:rsidRDefault="009A5BCD" w:rsidP="009A5BCD">
            <w:pPr>
              <w:jc w:val="center"/>
              <w:rPr>
                <w:rFonts w:eastAsia="Times New Roman"/>
              </w:rPr>
            </w:pPr>
            <w:r w:rsidRPr="003B2B16">
              <w:rPr>
                <w:rFonts w:eastAsia="Times New Roman"/>
              </w:rPr>
              <w:t>Характеристика Изделия</w:t>
            </w:r>
          </w:p>
        </w:tc>
        <w:tc>
          <w:tcPr>
            <w:tcW w:w="1275" w:type="dxa"/>
            <w:shd w:val="clear" w:color="auto" w:fill="auto"/>
          </w:tcPr>
          <w:p w:rsidR="009A5BCD" w:rsidRPr="003B2B16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3B2B16">
              <w:rPr>
                <w:rFonts w:eastAsia="Times New Roman"/>
              </w:rPr>
              <w:t>Объем</w:t>
            </w:r>
          </w:p>
          <w:p w:rsidR="009A5BCD" w:rsidRPr="003B2B16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3B2B16">
              <w:rPr>
                <w:rFonts w:eastAsia="Times New Roman"/>
              </w:rPr>
              <w:t>Изделий</w:t>
            </w:r>
            <w:r w:rsidR="003B2B16">
              <w:rPr>
                <w:rFonts w:eastAsia="Times New Roman"/>
              </w:rPr>
              <w:t>,</w:t>
            </w:r>
            <w:r w:rsidRPr="003B2B16">
              <w:rPr>
                <w:rFonts w:eastAsia="Times New Roman"/>
              </w:rPr>
              <w:t xml:space="preserve"> (шт.)</w:t>
            </w:r>
          </w:p>
        </w:tc>
      </w:tr>
      <w:tr w:rsidR="009A5BCD" w:rsidRPr="00A66955" w:rsidTr="003B2B16">
        <w:trPr>
          <w:trHeight w:val="723"/>
        </w:trPr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widowControl w:val="0"/>
              <w:tabs>
                <w:tab w:val="left" w:pos="9180"/>
              </w:tabs>
              <w:suppressAutoHyphens/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 xml:space="preserve">Протез голени для купания 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для купания, модульный. Специальный. Изготавливается по индивидуальному тех.процессу. Пробная приемная гильза из листового термопласта и постоянная приемная гильза из слоистого пластика на основе акриловых смол изготовлены по слепку. Стопа из полиуретана бесшарнирная, монолитная, влагозащищенная, с эффектом присасывания к скользким и мокрым поверхностям, с возможностью безопасного передвижения на протезе без обуви. Регулировочно-соединительные устройства (материал-титан) влагозащищенные на нагрузку, соответствующую весу Получателя. Крепление за счет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rPr>
          <w:trHeight w:val="723"/>
        </w:trPr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widowControl w:val="0"/>
              <w:tabs>
                <w:tab w:val="left" w:pos="9180"/>
              </w:tabs>
              <w:suppressAutoHyphens/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для купания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  <w:color w:val="FF0000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голени для купания. Специальный. Изготавливается по индивидуальному тех.процессу. Пробная приемная гильза по слепку из термопласта; постоянная приемная гильза по слепку из литьевого пластика на основе акриловых смол; стопа бесшарнирная,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Регулировочно-соединительные устройства-титан, влагозащищенные, на нагрузку соответствующие весу Получателя. Крепление за счет вакуума.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rPr>
          <w:trHeight w:val="723"/>
        </w:trPr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widowControl w:val="0"/>
              <w:tabs>
                <w:tab w:val="left" w:pos="9180"/>
              </w:tabs>
              <w:suppressAutoHyphens/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для купания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для купания. Специальный. Изготавливается по индивидуальному тех. процессу. Пробная приёмная гильза по слепку. Постоянная приёмная гильза по слепку. Стопа бесшарнирная, монолитная, влагозащищённая, с эффектом присасывания к скользким и мокрым поверхностям, с возможностью безопасного передвижения на протезе без обуви. Регулировочно-соединительные устройства влагозащищённые, на нагрузку соответствующие весу Получателя. Крепление за счёт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widowControl w:val="0"/>
              <w:tabs>
                <w:tab w:val="left" w:pos="9180"/>
              </w:tabs>
              <w:suppressAutoHyphens/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для купания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 для купания. Специальный. Изготавливается по индивидуальному тех. процессу. Пробная приёмка гильза из термопласта; постоянная приемная гильза из литьевого слоистого пластика на основе акриловых смол; стопа бесшарнирная,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Полимерный чехол. Деревянная заготовка предварительно обработанная по форме щиколотки с внутренним профилем под крепеж стопы. Крепление за счет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 xml:space="preserve">Протез голени модульный, </w:t>
            </w:r>
            <w:r w:rsidRPr="0014368F">
              <w:rPr>
                <w:rFonts w:eastAsia="Times New Roman"/>
              </w:rPr>
              <w:lastRenderedPageBreak/>
              <w:t>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lastRenderedPageBreak/>
              <w:t xml:space="preserve">Протез голени модульный для Получателей среднего уровня двигательной активности. Постоянный. Изготавливается по индивидуальному тех.процессу. Пробная приемная гильза по </w:t>
            </w:r>
            <w:r w:rsidRPr="0014368F">
              <w:rPr>
                <w:rFonts w:eastAsia="Times New Roman"/>
              </w:rPr>
              <w:lastRenderedPageBreak/>
              <w:t xml:space="preserve">слепку из термопласта; постоянная приемная гильза по слепку из литьевого слоистого пластика на основе акриловых смол. Стопа обладает высокой отдачей энергии и обеспечивает возможность динамичного перехода из фазы опоры в фазу переноса. Регулировочно-соединительные устройства на нагрузку соответствующие весу Получателя. Косметическая облицовка модульная- пенополиуретановая. Крепление за счет вакуума и наколенника. </w:t>
            </w:r>
            <w:r w:rsidRPr="0014368F">
              <w:rPr>
                <w:rFonts w:eastAsia="Times New Roman"/>
                <w:color w:val="000000" w:themeColor="text1"/>
              </w:rPr>
              <w:t>Чехлы хлопчатобумажные – 2 шт., чехлы полиамидные -2 шт.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</w:tr>
      <w:tr w:rsidR="009A5BCD" w:rsidRPr="00A66955" w:rsidTr="003B2B16">
        <w:trPr>
          <w:trHeight w:val="2072"/>
        </w:trPr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 для Получателей среднего уровня активности. Постоянный. Изготавливается по индивидуальному тех.процессу. Пробная приемная гильза по слепку. Постоянная приемная гильза по слепку. Стопа с улучшенной функцией переката, с эффектом рекуперации энергии. Полимерный чехол с дистальным соединением. Регулировочно-соединительные устройства на нагрузку соответствующие весу Получателя. Косметическая облицовка модульная. Крепление за счет замкового устройства для полимерных чехлов и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  <w:color w:val="FF0000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голени модульный для среднего уровня активности. Постоянный. Изготавливается по индивидуальному тех. процессу. Пробная приемная гильза по слепку. Постоянная приемная гильза по слепку. Стопа энергосберегающая с эффектом рекуперации энергии. Регулировочно-соединительные устройства на нагрузку соответствующие весу Получателя. Косметическая облицовка модульная. Крепление за счет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модульный. Постоянный. Изготавливается по индивидуальному тех.процессу. Пробная приемная гильза из термопласта; постоянная приемная гильза из литьевого слоистого пластика на основе акриловых смол. Стопа обеспечивает удобную опору на пятку и легкий перекат. Полимерный чехол с дистальным соединением. Регулировочно-соединительные устройства на нагрузку соответствующие весу Получателя. Крепление за счет замкового устройства для полимерных чехлов и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 xml:space="preserve">Протез голени модульный для Получателей среднего уровня двигательной активности. Постоянный. Изготавливается по индивидуальному тех.процессу. Пробная приемная гильза по слепку из термопласта; постоянная приемная гильза по слепку из литьевого слоистого пластика на основе акриловых смол. Углепластиковая стопа с улучшенной функцией переката, с эффектом рекуперации энергии. Полимерный чехол с дистальным соединением. Регулировочно-соединительные устройства на нагрузку соответствующие весу Получателя. Косметическая облицовка модульная-пенополиуретан. Крепление за счет замкового устройства для полимерных чехлов и наколенника. </w:t>
            </w:r>
            <w:r w:rsidRPr="0014368F">
              <w:rPr>
                <w:rFonts w:eastAsia="Times New Roman"/>
                <w:color w:val="000000" w:themeColor="text1"/>
              </w:rPr>
              <w:t>Чехлы хлопчатобумажные – 2 шт., чехлы полиамидные – 2 шт</w:t>
            </w:r>
            <w:r w:rsidRPr="0014368F">
              <w:rPr>
                <w:rFonts w:eastAsia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0A4DA8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 для Получателей среднего уровня активности. Постоянный. Изготавливается по индивидуальному тех.</w:t>
            </w:r>
            <w:r w:rsidR="000A4DA8">
              <w:rPr>
                <w:rFonts w:eastAsia="Times New Roman"/>
              </w:rPr>
              <w:t>процессу</w:t>
            </w:r>
            <w:r w:rsidRPr="0014368F">
              <w:rPr>
                <w:rFonts w:eastAsia="Times New Roman"/>
              </w:rPr>
              <w:t>. Пробная приемная гильза по слепку. Постоянная приемная гильза по слепку. Стопа обладает высокой отдачей энергии и обеспечивает возможность динамичного перехода из фазы опоры в фазу переноса. Регулировочно-соединительные устройства на нагрузку соответствующие весу Получателя. Косметическая облицовка модульная. Крепление за счет вакуума и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 для Получателей среднего уровня активности. Постоянный. Изготавливается по индивидуальному тех.процессу. Пробная приемная гильза по слепку. Постоянная приемная гильза по слепку. Стопа моноосная с мягким задним буфером. Регулировочно-соединительные устройства на нагрузку соответствующие весу Получателя. Косметическая облицовка модульная- пенополиуретан. Крепление за счет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бедра модульный</w:t>
            </w:r>
            <w:r w:rsidR="005F1452" w:rsidRPr="0014368F">
              <w:rPr>
                <w:rFonts w:eastAsia="Times New Roman"/>
                <w:color w:val="000000" w:themeColor="text1"/>
              </w:rPr>
              <w:t xml:space="preserve"> для П</w:t>
            </w:r>
            <w:r w:rsidRPr="0014368F">
              <w:rPr>
                <w:rFonts w:eastAsia="Times New Roman"/>
                <w:color w:val="000000" w:themeColor="text1"/>
              </w:rPr>
              <w:t>олучателей среднего уровня двигательной активности. Постоянный. Изготавливается по индивидуальному тех.процессу. Пробная приемная гильза по слепку из термопласта; постоянная приемная гильза по слепку из литьевого слоистого пластика на основе акриловых смол. Полимерный чехол. Коленный модуль моноцентрический с ротационной гидравликой. Углепластиковая стопа с улучшенной функцией переката, с эффектом рекуперации энергии. Регулировочно-соединительные устройства на нагрузку соответствующие весу Получателя. Косметическая облицовка модульная-пенополиуретан. Крепление: соединение в проксимальной и дистальной части лайнера ремнями и блоками. Дополнительное крепление по медицинским показаниям эластичным бандажом. Чехлы хлопчатобумажные – 2 шт., чехлы полиамидные – 2 шт.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 xml:space="preserve">Протез бедра модульный </w:t>
            </w:r>
            <w:r w:rsidR="00A77286">
              <w:rPr>
                <w:rFonts w:eastAsia="Times New Roman"/>
              </w:rPr>
              <w:t>для Получателей низкого уровня д</w:t>
            </w:r>
            <w:r w:rsidRPr="0014368F">
              <w:rPr>
                <w:rFonts w:eastAsia="Times New Roman"/>
              </w:rPr>
              <w:t xml:space="preserve">вигательной активности. Постоянный. Изготавливается по индивидуальному тех.процессу. Пробная приемная гильза по слепку из термопласта; постоянная приемная гильза по слепку из литьевого слоистого пластика на основе акриловых смол. Коленный модуль полицентрический при ходьбе в фазе переноса достигается функциональное укорочение протеза. Стопа моноосная с мягким задним буфером. Регулировочно-соединительные устройства на нагрузку соответствующие весу Получателя. Косметическая облицовка модульная-пенополиуретан. Крепление за счет вакуума. Дополнительное крепление по медицинским показаниям эластичным бандажом. Чехлы полиамидные – 2 шт. 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66955">
              <w:rPr>
                <w:rFonts w:eastAsia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  <w:color w:val="000000" w:themeColor="text1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  <w:color w:val="000000" w:themeColor="text1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бедра модульный для Получателей низкого уровня двигательной активности. Постоянный. Изготавливается по индивидуальному тех.процессу. Пробная приемная гильза по слепку из термопласта; постоянная приемная гильза по слепку из литьевого слоистого пластика на основе акриловых смол. Коленный модуль моноцентрический облегченный, с фиксатором. Стопа моноосная с мягким задним буфером. Регулировочно-соединительные устройства на нагрузку соответствующие весу Получателя. Косметическая облицовка модульная-пенополиуретан. Крепление за счет вакуума. Дополнительные крепления по медицинским показаниям эластичным бандажом. Чехлы полиамидные – 2 шт.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 xml:space="preserve">Протез при вычленении бедра модульный 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при вычленении. Изготавливается по</w:t>
            </w:r>
            <w:r w:rsidR="005F1452" w:rsidRPr="0014368F">
              <w:rPr>
                <w:rFonts w:eastAsia="Times New Roman"/>
              </w:rPr>
              <w:t xml:space="preserve"> индивидуальному тех.процессу. П</w:t>
            </w:r>
            <w:r w:rsidRPr="0014368F">
              <w:rPr>
                <w:rFonts w:eastAsia="Times New Roman"/>
              </w:rPr>
              <w:t>робная приемная гильза по слепку из термопласта. Постоянная приемная гильза по слепку из литьевого слоистого плас</w:t>
            </w:r>
            <w:r w:rsidR="0005157C" w:rsidRPr="0014368F">
              <w:rPr>
                <w:rFonts w:eastAsia="Times New Roman"/>
              </w:rPr>
              <w:t xml:space="preserve">тика на основе акриловых смол. </w:t>
            </w:r>
            <w:r w:rsidRPr="0014368F">
              <w:rPr>
                <w:rFonts w:eastAsia="Times New Roman"/>
              </w:rPr>
              <w:t>Механический полицентрический тазобедренный шарнир обеспечивает высокую устойчивость в фазе опоры. Коленный модуль моноцентрический с тормозным механизмом с толканием и защитным чехлом. Стопа энергосберегающая с эффектом рекуперации энергии. Регулировочно-соединительные устройства на нагрузку соответствующие весу Получателя. Поворотный адаптер обеспечивает возможность поворота согнутого в колене относительно приемной гильзы. Регулировочно-соединительные устройства на нагрузку соответствующие весу Получателя. Косметическая облицовка модульная –пенополиуретан. Крепление корсетом по слепку из литьевого пластика на основе акриловых смол.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 для Получателей среднего уровня двигательной активности. Постоянный. изготавливается по индивидуальному тех.процессу. Пробная приемная гильза из термопласта; постоянная приемная гильза из литьевого слоистого пластика на основе акриловых смол. Полимерный чехол. Стопа энергосберегающая с эффектом рекуперации энергии. Косметическая облицовка модульная –пенополиуретан. Крепление за счет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widowControl w:val="0"/>
              <w:tabs>
                <w:tab w:val="left" w:pos="9180"/>
              </w:tabs>
              <w:suppressAutoHyphens/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 xml:space="preserve">Протез голени для купания 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 для купания с системой водоудаления. Специальный. Изготавливается по индивидуальному тех.процессу. Пробная приемная гильза из термопласта; постоянная приемная гильза из литьевого слоистого пластика на основе акриловых смол; стопа бесшарнирная,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Скользящий титановый адаптер позволяет выполнять дополнительные скользящие регулировки между гильзой протеза и адаптером трубки. Крепление за счет наколенника.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18.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модульный, в том числе при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модульный с несущей приемной гильзой из литьевого слоистого пластика на основе акриловых смол с содержанием свободных ионов серебра (с изготовлением примерочной гильзы из термоформуемого пластика не менее 2 шт.), индивидуального изготовления по слепку и усиленная высокопрочным карбоном, углепластиковая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</w:t>
            </w:r>
            <w:r w:rsidR="005F1452" w:rsidRPr="0014368F">
              <w:rPr>
                <w:rFonts w:eastAsia="Times New Roman"/>
              </w:rPr>
              <w:t>ти от пола П</w:t>
            </w:r>
            <w:r w:rsidRPr="0014368F">
              <w:rPr>
                <w:rFonts w:eastAsia="Times New Roman"/>
              </w:rPr>
              <w:t>олучателя. Полимерный чехол. Полуфабрикаты титан на нагрузку соответствующие весу Получателя. Чехлы махровые, чехлы перлоновые. Косметическая облицовка модульная-пенополиуретан. Крепление за счет замкового устройства для полимерных чехлов.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19.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widowControl w:val="0"/>
              <w:tabs>
                <w:tab w:val="left" w:pos="9180"/>
              </w:tabs>
              <w:suppressAutoHyphens/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 xml:space="preserve">Протез голени для купания 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голени для купания. Пробная приемная гильза из прозрачного сополимера полиэтилена изготавливается методом 3</w:t>
            </w:r>
            <w:r w:rsidRPr="0014368F">
              <w:rPr>
                <w:rFonts w:eastAsia="Times New Roman"/>
                <w:lang w:val="en-US"/>
              </w:rPr>
              <w:t>D</w:t>
            </w:r>
            <w:r w:rsidRPr="0014368F">
              <w:rPr>
                <w:rFonts w:eastAsia="Times New Roman"/>
              </w:rPr>
              <w:t xml:space="preserve"> сканирования и моделирования. Постоянная приемная гильза по слепку из литьевых смол холодного отверждения. регулировочно-соединительные устройства вл</w:t>
            </w:r>
            <w:r w:rsidR="005F1452" w:rsidRPr="0014368F">
              <w:rPr>
                <w:rFonts w:eastAsia="Times New Roman"/>
              </w:rPr>
              <w:t>агостойкие рассчитанные на вес П</w:t>
            </w:r>
            <w:r w:rsidRPr="0014368F">
              <w:rPr>
                <w:rFonts w:eastAsia="Times New Roman"/>
              </w:rPr>
              <w:t>олучателя. Стопа бесшарнирная монолитная со специальным рифлением на подошвенной поверхности для увеличения надежности сцепления на мокрой и скользкой поверхности с водостойким адаптером. Крепление протеза полимерным беззамковым чехлом. Изделие должно иметь жесткую формообразующую облицовку.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20.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бедра для купания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</w:rPr>
              <w:t>Протез бедра для купания. Пробная приемная гильза из прозрачного сополимера полиэтилена изготавливается методом 3</w:t>
            </w:r>
            <w:r w:rsidRPr="0014368F">
              <w:rPr>
                <w:rFonts w:eastAsia="Times New Roman"/>
                <w:lang w:val="en-US"/>
              </w:rPr>
              <w:t>D</w:t>
            </w:r>
            <w:r w:rsidRPr="0014368F">
              <w:rPr>
                <w:rFonts w:eastAsia="Times New Roman"/>
              </w:rPr>
              <w:t xml:space="preserve"> сканирования и моделирования. Постоянная приемная гильза по слепку из литьевых смол холодного отверждения. Регулировочно-соединительные устройства влагостойкие рассчитаны на вес Получателя. Стопа бесшарнирная монолитная со специальным рифлением на подощвенной поверхности для увеличения надежности сцепления на мокрой и скользкой поверхности с водостойким адаптером. Коленный шарнир одноосный, гидравлический, влагостойкий. Крепление протеза- влагостойкий вакуумный клапан. Изделие должно иметь жесткую формообразующую облицовку.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21.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бедра модульный для Получателей среднего уровня двигательной активности. Постоянный. Изготавливается по индивидуальному тех.процессу. Пробная приемная гильза из термопласта; постоянная приемная гильза из литьевого слоистого пластика на основе акриловых смол. Коленный модуль полицентрический пневматический, с регулировкой фаз сгибания и разгибания. Поворотный адаптер выше колена, позволяющий легко отводить согнутую голень в сторону. Стопа моноосная с мягким задним буфером. Регулировочно-соединительные устройства на нагрузку соответствующие весу Получателя. Косметическая облицовка модульная – пенополиуретан. Крепление за счет вакуума. Дополнительное крепление по медицинским показаниям эластичным бандажом.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22.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spacing w:line="192" w:lineRule="auto"/>
              <w:jc w:val="center"/>
              <w:rPr>
                <w:rFonts w:eastAsia="Times New Roman"/>
                <w:color w:val="000000" w:themeColor="text1"/>
              </w:rPr>
            </w:pPr>
            <w:r w:rsidRPr="0014368F">
              <w:rPr>
                <w:rFonts w:eastAsia="Times New Roman"/>
              </w:rPr>
              <w:t>Протез бедра для купания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  <w:color w:val="000000" w:themeColor="text1"/>
              </w:rPr>
            </w:pPr>
            <w:r w:rsidRPr="0014368F">
              <w:rPr>
                <w:rFonts w:eastAsia="Times New Roman"/>
                <w:color w:val="000000" w:themeColor="text1"/>
              </w:rPr>
              <w:t xml:space="preserve">Протез бедра модульный для купания. Специальный. Изготавливается по индивидуальному тех.процессу. Пробная приемная гильза из термопласта; постоянная приемная гильза из литьевого слоистого пластика на основе акриловых смол. </w:t>
            </w:r>
            <w:r w:rsidRPr="0014368F">
              <w:rPr>
                <w:rFonts w:eastAsia="Times New Roman"/>
                <w:color w:val="000000" w:themeColor="text1"/>
              </w:rPr>
              <w:lastRenderedPageBreak/>
              <w:t>Коленный модуль одноосный гидравлический с контролем фазы переноса и опоры, водоустойчивая конструкция, для использования в пресной и соленой воде, ручной замок для безопасности на мокрых поверхностях и долговременного стояния. Стопа водозащищенная, включая соленую и хлорированную воду, с дренажными отверстиями в оболочке, позволяют сливать воду после погружения, водоотводящие каналы предотвращают скапливание воды в несущем модуле, подстраивается под любой тип поверхности. Полимерный чехол гелевый с дистальным соединением, высокотехнологичной антибактериальной добавкой, имеет высокую эластичность, адаптируется к форме культи, с временно тяговым креплением, позволяющее надевать протез сидя. Регулировочно-соединительные устройства – титан, влагозащищенные, на нагрузку соответствующие весу Получателя.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A66955">
            <w:pPr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559" w:type="dxa"/>
          </w:tcPr>
          <w:p w:rsidR="009A5BCD" w:rsidRPr="0014368F" w:rsidRDefault="009A5BCD" w:rsidP="0014368F">
            <w:pPr>
              <w:widowControl w:val="0"/>
              <w:tabs>
                <w:tab w:val="left" w:pos="9180"/>
              </w:tabs>
              <w:suppressAutoHyphens/>
              <w:spacing w:line="192" w:lineRule="auto"/>
              <w:jc w:val="center"/>
              <w:rPr>
                <w:rFonts w:eastAsia="Times New Roman"/>
                <w:color w:val="000000" w:themeColor="text1"/>
              </w:rPr>
            </w:pPr>
            <w:r w:rsidRPr="0014368F">
              <w:rPr>
                <w:rFonts w:eastAsia="Times New Roman"/>
              </w:rPr>
              <w:t xml:space="preserve">Протез голени для купания </w:t>
            </w:r>
          </w:p>
        </w:tc>
        <w:tc>
          <w:tcPr>
            <w:tcW w:w="6946" w:type="dxa"/>
            <w:shd w:val="clear" w:color="auto" w:fill="auto"/>
          </w:tcPr>
          <w:p w:rsidR="009A5BCD" w:rsidRPr="0014368F" w:rsidRDefault="009A5BCD" w:rsidP="0014368F">
            <w:pPr>
              <w:spacing w:line="192" w:lineRule="auto"/>
              <w:jc w:val="both"/>
              <w:rPr>
                <w:rFonts w:eastAsia="Times New Roman"/>
                <w:color w:val="000000" w:themeColor="text1"/>
              </w:rPr>
            </w:pPr>
            <w:r w:rsidRPr="0014368F">
              <w:rPr>
                <w:rFonts w:eastAsia="Times New Roman"/>
                <w:color w:val="000000" w:themeColor="text1"/>
              </w:rPr>
              <w:t>Протез голени модульный для купания. Специальный. Изготавливается по индивидуальному тех.процессу. Пробная приемная гильза из термопласта; постоянная приемная гильза из литьевого слоистого пластика на основе акриловых смол. Стопа водозащищенная- включая соленую и хлорированную воду, с дренажными отверстиями в оболочке – позволяют сливать воду после погружения, водоотводящие каналы предотвращают скапливание воды в несущем модуле, подстраивается под любой тип поверхности. Полимерный чехол гелевый с дистальным соединением, высокотехнологичной с антибактериальной добавкой, обеспечивает улучшенную амортизацию и повышает комфорт при ношении, с замковым креплением. Регулировочно-соединительные устройства- титан, влагозащищенные, на нагрузку, соответствующие весу Получателя.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A669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6695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A5BCD" w:rsidRPr="00A66955" w:rsidTr="003B2B16">
        <w:tc>
          <w:tcPr>
            <w:tcW w:w="568" w:type="dxa"/>
            <w:shd w:val="clear" w:color="auto" w:fill="auto"/>
          </w:tcPr>
          <w:p w:rsidR="009A5BCD" w:rsidRPr="00A66955" w:rsidRDefault="009A5BCD" w:rsidP="00DB4839">
            <w:pPr>
              <w:ind w:right="-11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9A5BCD" w:rsidRPr="00A66955" w:rsidRDefault="009A5BCD" w:rsidP="00DB4839">
            <w:pPr>
              <w:ind w:right="-114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9A5BCD" w:rsidRPr="00A66955" w:rsidRDefault="009A5BCD" w:rsidP="00DB4839">
            <w:pPr>
              <w:ind w:right="-11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</w:tr>
    </w:tbl>
    <w:p w:rsidR="00A66955" w:rsidRPr="00A66955" w:rsidRDefault="00A66955" w:rsidP="00DB4839">
      <w:pPr>
        <w:ind w:right="-114"/>
        <w:jc w:val="both"/>
        <w:rPr>
          <w:lang w:eastAsia="en-US"/>
        </w:rPr>
      </w:pPr>
      <w:r w:rsidRPr="00A66955">
        <w:rPr>
          <w:bCs/>
          <w:lang w:eastAsia="en-US"/>
        </w:rPr>
        <w:t>2.2.1</w:t>
      </w:r>
      <w:r w:rsidRPr="00A66955">
        <w:rPr>
          <w:lang w:eastAsia="en-US"/>
        </w:rPr>
        <w:t xml:space="preserve">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A66955" w:rsidRPr="00A66955" w:rsidRDefault="00A66955" w:rsidP="00DB4839">
      <w:pPr>
        <w:ind w:right="-114"/>
        <w:jc w:val="both"/>
        <w:rPr>
          <w:rFonts w:eastAsia="Times New Roman"/>
          <w:color w:val="000000" w:themeColor="text1"/>
          <w:sz w:val="20"/>
          <w:szCs w:val="20"/>
        </w:rPr>
      </w:pPr>
      <w:r w:rsidRPr="00A66955">
        <w:rPr>
          <w:rFonts w:eastAsia="Times New Roman"/>
          <w:lang w:eastAsia="ar-SA"/>
        </w:rPr>
        <w:t>2.2</w:t>
      </w:r>
      <w:r w:rsidRPr="00A66955">
        <w:rPr>
          <w:rFonts w:eastAsia="Times New Roman"/>
          <w:color w:val="000000" w:themeColor="text1"/>
          <w:lang w:eastAsia="ar-SA"/>
        </w:rPr>
        <w:t>.2 Изделия (элементы Изделий) должны соответствовать требованиям государственных стандартов (ГОСТ), действующих на территории Российской Федерации:</w:t>
      </w:r>
      <w:r w:rsidRPr="00A66955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A66955" w:rsidRPr="00A66955" w:rsidRDefault="00A66955" w:rsidP="00DB4839">
      <w:pPr>
        <w:ind w:right="-114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A66955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-</w:t>
      </w:r>
      <w:r w:rsidRPr="00A66955">
        <w:rPr>
          <w:rFonts w:ascii="Times New Roman CYR" w:eastAsia="Times New Roman" w:hAnsi="Times New Roman CYR" w:cs="Times New Roman CYR"/>
          <w:color w:val="000000" w:themeColor="text1"/>
        </w:rPr>
        <w:t>ГОСТ Р 53869-2021 «Протезы нижних конеч</w:t>
      </w:r>
      <w:r w:rsidR="000974EC">
        <w:rPr>
          <w:rFonts w:ascii="Times New Roman CYR" w:eastAsia="Times New Roman" w:hAnsi="Times New Roman CYR" w:cs="Times New Roman CYR"/>
          <w:color w:val="000000" w:themeColor="text1"/>
        </w:rPr>
        <w:t>ностей. Технические требования»;</w:t>
      </w:r>
    </w:p>
    <w:p w:rsidR="00A66955" w:rsidRPr="00A66955" w:rsidRDefault="00056E9E" w:rsidP="00DB4839">
      <w:pPr>
        <w:ind w:right="-114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>
        <w:rPr>
          <w:rFonts w:ascii="Times New Roman CYR" w:eastAsia="Times New Roman" w:hAnsi="Times New Roman CYR" w:cs="Times New Roman CYR"/>
          <w:color w:val="000000" w:themeColor="text1"/>
        </w:rPr>
        <w:t>-ГОСТ Р 51819-2022</w:t>
      </w:r>
      <w:r w:rsidR="00A66955" w:rsidRPr="00A66955">
        <w:rPr>
          <w:rFonts w:ascii="Times New Roman CYR" w:eastAsia="Times New Roman" w:hAnsi="Times New Roman CYR" w:cs="Times New Roman CYR"/>
          <w:color w:val="000000" w:themeColor="text1"/>
        </w:rPr>
        <w:t xml:space="preserve"> «Протезирование и ортезирование верхних и нижних</w:t>
      </w:r>
      <w:r w:rsidR="000974EC">
        <w:rPr>
          <w:rFonts w:ascii="Times New Roman CYR" w:eastAsia="Times New Roman" w:hAnsi="Times New Roman CYR" w:cs="Times New Roman CYR"/>
          <w:color w:val="000000" w:themeColor="text1"/>
        </w:rPr>
        <w:t xml:space="preserve"> </w:t>
      </w:r>
      <w:r w:rsidR="00A66955" w:rsidRPr="00A66955">
        <w:rPr>
          <w:rFonts w:ascii="Times New Roman CYR" w:eastAsia="Times New Roman" w:hAnsi="Times New Roman CYR" w:cs="Times New Roman CYR"/>
          <w:color w:val="000000" w:themeColor="text1"/>
        </w:rPr>
        <w:t>конечно</w:t>
      </w:r>
      <w:r w:rsidR="000974EC">
        <w:rPr>
          <w:rFonts w:ascii="Times New Roman CYR" w:eastAsia="Times New Roman" w:hAnsi="Times New Roman CYR" w:cs="Times New Roman CYR"/>
          <w:color w:val="000000" w:themeColor="text1"/>
        </w:rPr>
        <w:t>стей. Термины и определения»;</w:t>
      </w:r>
    </w:p>
    <w:p w:rsidR="00A66955" w:rsidRPr="00A66955" w:rsidRDefault="00A66955" w:rsidP="00DB4839">
      <w:pPr>
        <w:suppressAutoHyphens/>
        <w:ind w:right="-114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A66955">
        <w:rPr>
          <w:rFonts w:ascii="Times New Roman CYR" w:eastAsia="Times New Roman" w:hAnsi="Times New Roman CYR" w:cs="Times New Roman CYR"/>
          <w:color w:val="000000" w:themeColor="text1"/>
        </w:rPr>
        <w:t>-ГОСТ Р 53870-2021 «</w:t>
      </w:r>
      <w:r w:rsidR="00056E9E" w:rsidRPr="00056E9E">
        <w:rPr>
          <w:rFonts w:ascii="Times New Roman CYR" w:eastAsia="Times New Roman" w:hAnsi="Times New Roman CYR" w:cs="Times New Roman CYR"/>
          <w:color w:val="000000"/>
        </w:rPr>
        <w:t>Реабилитационные мероприятия</w:t>
      </w:r>
      <w:r w:rsidR="00056E9E">
        <w:rPr>
          <w:rFonts w:ascii="Times New Roman CYR" w:eastAsia="Times New Roman" w:hAnsi="Times New Roman CYR" w:cs="Times New Roman CYR"/>
          <w:color w:val="000000"/>
        </w:rPr>
        <w:t xml:space="preserve">. </w:t>
      </w:r>
      <w:r w:rsidRPr="00A66955">
        <w:rPr>
          <w:rFonts w:ascii="Times New Roman CYR" w:eastAsia="Times New Roman" w:hAnsi="Times New Roman CYR" w:cs="Times New Roman CYR"/>
          <w:color w:val="000000" w:themeColor="text1"/>
        </w:rPr>
        <w:t xml:space="preserve">Услуги по протезированию нижних конечностей. Состав, содержание </w:t>
      </w:r>
      <w:r w:rsidR="00056E9E">
        <w:rPr>
          <w:rFonts w:ascii="Times New Roman CYR" w:eastAsia="Times New Roman" w:hAnsi="Times New Roman CYR" w:cs="Times New Roman CYR"/>
          <w:color w:val="000000" w:themeColor="text1"/>
        </w:rPr>
        <w:t>и порядок предоставления услуг»</w:t>
      </w:r>
      <w:r w:rsidRPr="00A66955">
        <w:rPr>
          <w:rFonts w:ascii="Times New Roman CYR" w:eastAsia="Times New Roman" w:hAnsi="Times New Roman CYR" w:cs="Times New Roman CYR"/>
          <w:color w:val="000000" w:themeColor="text1"/>
        </w:rPr>
        <w:t xml:space="preserve">. </w:t>
      </w:r>
    </w:p>
    <w:p w:rsidR="00A66955" w:rsidRPr="00A66955" w:rsidRDefault="00A66955" w:rsidP="00DB4839">
      <w:pPr>
        <w:suppressAutoHyphens/>
        <w:ind w:right="-114"/>
        <w:jc w:val="both"/>
        <w:rPr>
          <w:rFonts w:eastAsia="Times New Roman"/>
          <w:color w:val="000000" w:themeColor="text1"/>
          <w:lang w:eastAsia="hi-IN" w:bidi="hi-IN"/>
        </w:rPr>
      </w:pPr>
      <w:r w:rsidRPr="00A66955">
        <w:rPr>
          <w:rFonts w:ascii="Times New Roman CYR" w:eastAsia="Times New Roman" w:hAnsi="Times New Roman CYR" w:cs="Times New Roman CYR"/>
          <w:color w:val="000000" w:themeColor="text1"/>
        </w:rPr>
        <w:t>-Г</w:t>
      </w:r>
      <w:r w:rsidRPr="00A66955">
        <w:rPr>
          <w:rFonts w:eastAsia="Times New Roman"/>
          <w:color w:val="000000" w:themeColor="text1"/>
          <w:lang w:eastAsia="hi-IN" w:bidi="hi-IN"/>
        </w:rPr>
        <w:t>ОСТ Р ИСО 9999-2019 «Вспомогательные средства для людей с ограничениями жизнедеятельности. Классификация и терминология»,</w:t>
      </w:r>
    </w:p>
    <w:p w:rsidR="00A66955" w:rsidRPr="00A66955" w:rsidRDefault="00A66955" w:rsidP="00DB4839">
      <w:pPr>
        <w:suppressAutoHyphens/>
        <w:ind w:right="-114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A66955">
        <w:rPr>
          <w:rFonts w:eastAsia="Times New Roman"/>
          <w:color w:val="000000" w:themeColor="text1"/>
          <w:lang w:eastAsia="hi-IN" w:bidi="hi-IN"/>
        </w:rPr>
        <w:t>-ГОСТ Р 51632-2021 «Технические средства реабилитации людей с ограничениями жизнедеятельности. Общие технические требования и методы испытания.</w:t>
      </w:r>
    </w:p>
    <w:p w:rsidR="00A66955" w:rsidRPr="00A66955" w:rsidRDefault="00A66955" w:rsidP="00DB4839">
      <w:pPr>
        <w:autoSpaceDE w:val="0"/>
        <w:autoSpaceDN w:val="0"/>
        <w:adjustRightInd w:val="0"/>
        <w:ind w:right="-114"/>
        <w:jc w:val="both"/>
        <w:rPr>
          <w:rFonts w:eastAsia="Times New Roman"/>
        </w:rPr>
      </w:pPr>
      <w:r w:rsidRPr="00A66955">
        <w:rPr>
          <w:color w:val="000000" w:themeColor="text1"/>
          <w:lang w:eastAsia="en-US"/>
        </w:rPr>
        <w:t>2.3</w:t>
      </w:r>
      <w:r w:rsidRPr="00A66955">
        <w:rPr>
          <w:color w:val="000000" w:themeColor="text1"/>
        </w:rPr>
        <w:t xml:space="preserve">. </w:t>
      </w:r>
      <w:r w:rsidRPr="00A66955">
        <w:rPr>
          <w:rFonts w:eastAsia="Times New Roman"/>
          <w:color w:val="000000" w:themeColor="text1"/>
        </w:rPr>
        <w:t>Изделия должны быть новыми Изделиями</w:t>
      </w:r>
      <w:r w:rsidRPr="00A66955">
        <w:rPr>
          <w:color w:val="000000" w:themeColor="text1"/>
        </w:rPr>
        <w:t xml:space="preserve"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</w:t>
      </w:r>
      <w:r w:rsidRPr="00A66955">
        <w:t xml:space="preserve">потребительские свойства. </w:t>
      </w:r>
      <w:r w:rsidRPr="00A66955">
        <w:rPr>
          <w:rFonts w:eastAsia="Times New Roman"/>
        </w:rPr>
        <w:t>Изделия должны быть свободными от прав третьих лиц.</w:t>
      </w:r>
    </w:p>
    <w:p w:rsidR="00A66955" w:rsidRPr="00A66955" w:rsidRDefault="00A66955" w:rsidP="00DB4839">
      <w:pPr>
        <w:autoSpaceDE w:val="0"/>
        <w:ind w:right="-114"/>
        <w:jc w:val="both"/>
        <w:rPr>
          <w:rFonts w:eastAsia="Times New Roman"/>
        </w:rPr>
      </w:pPr>
      <w:r w:rsidRPr="00A66955">
        <w:rPr>
          <w:bCs/>
          <w:lang w:eastAsia="en-US"/>
        </w:rPr>
        <w:t xml:space="preserve">2.4. </w:t>
      </w:r>
      <w:r w:rsidRPr="00A66955">
        <w:rPr>
          <w:rFonts w:eastAsia="Times New Roman"/>
        </w:rPr>
        <w:t>Упаковка Изделий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A66955" w:rsidRPr="00A66955" w:rsidRDefault="00A66955" w:rsidP="00DB4839">
      <w:pPr>
        <w:ind w:right="-114"/>
        <w:jc w:val="both"/>
        <w:rPr>
          <w:rFonts w:eastAsia="Times New Roman"/>
          <w:color w:val="000000" w:themeColor="text1"/>
        </w:rPr>
      </w:pPr>
      <w:r w:rsidRPr="00A66955">
        <w:rPr>
          <w:lang w:eastAsia="en-US"/>
        </w:rPr>
        <w:t>2.5.</w:t>
      </w:r>
      <w:r w:rsidRPr="00A66955">
        <w:rPr>
          <w:b/>
          <w:lang w:eastAsia="en-US"/>
        </w:rPr>
        <w:t xml:space="preserve"> </w:t>
      </w:r>
      <w:r w:rsidRPr="00A66955">
        <w:rPr>
          <w:rFonts w:eastAsia="Times New Roman"/>
          <w:color w:val="000000" w:themeColor="text1"/>
          <w:lang w:eastAsia="en-US"/>
        </w:rPr>
        <w:t xml:space="preserve">Гарантийный срок </w:t>
      </w:r>
      <w:r w:rsidRPr="00A66955">
        <w:rPr>
          <w:rFonts w:eastAsia="Times New Roman"/>
          <w:color w:val="000000" w:themeColor="text1"/>
        </w:rPr>
        <w:t>на Изделия (протезы) составляет</w:t>
      </w:r>
      <w:r w:rsidRPr="00A66955">
        <w:rPr>
          <w:rFonts w:eastAsiaTheme="minorHAnsi"/>
          <w:color w:val="000000" w:themeColor="text1"/>
        </w:rPr>
        <w:t xml:space="preserve"> </w:t>
      </w:r>
      <w:r w:rsidRPr="00A66955">
        <w:rPr>
          <w:rFonts w:eastAsia="Times New Roman"/>
          <w:color w:val="000000" w:themeColor="text1"/>
        </w:rPr>
        <w:t>не менее 12 месяцев со дня подписания Получателями акта приема-передачи Изделий</w:t>
      </w:r>
      <w:r w:rsidRPr="00A66955">
        <w:rPr>
          <w:rFonts w:eastAsia="Times New Roman"/>
          <w:bCs/>
          <w:color w:val="000000" w:themeColor="text1"/>
          <w:spacing w:val="2"/>
          <w:kern w:val="36"/>
        </w:rPr>
        <w:t xml:space="preserve">. </w:t>
      </w:r>
      <w:r w:rsidRPr="00A66955">
        <w:rPr>
          <w:rFonts w:eastAsia="Times New Roman"/>
          <w:color w:val="000000" w:themeColor="text1"/>
        </w:rPr>
        <w:t xml:space="preserve"> </w:t>
      </w:r>
    </w:p>
    <w:p w:rsidR="00A66955" w:rsidRPr="00A66955" w:rsidRDefault="00A66955" w:rsidP="00DB4839">
      <w:pPr>
        <w:suppressAutoHyphens/>
        <w:ind w:right="-114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A66955">
        <w:rPr>
          <w:rFonts w:eastAsia="Times New Roman"/>
          <w:color w:val="000000" w:themeColor="text1"/>
          <w:lang w:eastAsia="hi-IN" w:bidi="hi-IN"/>
        </w:rPr>
        <w:t>Срок службы на Изделия устанавливается приказом Министерства труда и социальной защиты Российской Федерации от 05 марта 2021 г. № 107н.</w:t>
      </w:r>
    </w:p>
    <w:p w:rsidR="00A66955" w:rsidRPr="00A66955" w:rsidRDefault="00A66955" w:rsidP="00DB4839">
      <w:pPr>
        <w:ind w:right="-114"/>
        <w:jc w:val="both"/>
        <w:rPr>
          <w:color w:val="000000" w:themeColor="text1"/>
        </w:rPr>
      </w:pPr>
      <w:r w:rsidRPr="00A66955">
        <w:rPr>
          <w:color w:val="000000" w:themeColor="text1"/>
        </w:rPr>
        <w:t>3.Исполнитель обязан:</w:t>
      </w:r>
    </w:p>
    <w:p w:rsidR="00A66955" w:rsidRPr="00A66955" w:rsidRDefault="00A66955" w:rsidP="00DB4839">
      <w:pPr>
        <w:ind w:right="-114"/>
        <w:jc w:val="both"/>
        <w:rPr>
          <w:rFonts w:eastAsia="Times New Roman"/>
          <w:lang w:eastAsia="ar-SA"/>
        </w:rPr>
      </w:pPr>
      <w:r w:rsidRPr="00A66955">
        <w:rPr>
          <w:bCs/>
          <w:lang w:eastAsia="en-US"/>
        </w:rPr>
        <w:lastRenderedPageBreak/>
        <w:t xml:space="preserve"> </w:t>
      </w:r>
      <w:r w:rsidRPr="00A66955">
        <w:rPr>
          <w:rFonts w:eastAsia="Times New Roman"/>
          <w:lang w:eastAsia="ar-SA"/>
        </w:rPr>
        <w:t>3.1.</w:t>
      </w:r>
      <w:r w:rsidRPr="00A66955">
        <w:rPr>
          <w:rFonts w:eastAsia="Times New Roman"/>
        </w:rPr>
        <w:t xml:space="preserve">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</w:t>
      </w:r>
    </w:p>
    <w:p w:rsidR="00A66955" w:rsidRPr="00A66955" w:rsidRDefault="00A66955" w:rsidP="00A66955">
      <w:pPr>
        <w:ind w:right="-24"/>
        <w:jc w:val="both"/>
        <w:rPr>
          <w:rFonts w:eastAsia="Times New Roman"/>
        </w:rPr>
      </w:pPr>
      <w:r w:rsidRPr="00A66955">
        <w:rPr>
          <w:rFonts w:eastAsia="Times New Roman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A66955" w:rsidRPr="00A66955" w:rsidRDefault="00A66955" w:rsidP="00A66955">
      <w:pPr>
        <w:ind w:right="-24"/>
        <w:jc w:val="both"/>
        <w:rPr>
          <w:rFonts w:eastAsia="Times New Roman"/>
        </w:rPr>
      </w:pPr>
      <w:r w:rsidRPr="00A66955">
        <w:rPr>
          <w:rFonts w:eastAsia="Times New Roman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Изделий представителю Получателя.</w:t>
      </w:r>
    </w:p>
    <w:p w:rsidR="00A66955" w:rsidRPr="00A66955" w:rsidRDefault="00A66955" w:rsidP="00A66955">
      <w:pPr>
        <w:jc w:val="both"/>
        <w:rPr>
          <w:rFonts w:ascii="Times New Roman CYR" w:eastAsia="Times New Roman" w:hAnsi="Times New Roman CYR" w:cs="Times New Roman CYR"/>
        </w:rPr>
      </w:pPr>
      <w:r w:rsidRPr="00A66955">
        <w:rPr>
          <w:rFonts w:eastAsia="Times New Roman"/>
        </w:rPr>
        <w:t xml:space="preserve">3.2. </w:t>
      </w:r>
      <w:r w:rsidRPr="00A66955">
        <w:rPr>
          <w:rFonts w:ascii="Times New Roman CYR" w:eastAsia="Times New Roman" w:hAnsi="Times New Roman CYR" w:cs="Times New Roman CYR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A66955" w:rsidRPr="00A66955" w:rsidRDefault="00A66955" w:rsidP="00A66955">
      <w:pPr>
        <w:jc w:val="both"/>
        <w:rPr>
          <w:rFonts w:ascii="Times New Roman CYR" w:eastAsia="Times New Roman" w:hAnsi="Times New Roman CYR" w:cs="Times New Roman CYR"/>
        </w:rPr>
      </w:pPr>
      <w:r w:rsidRPr="00A66955">
        <w:rPr>
          <w:rFonts w:eastAsia="Times New Roman"/>
        </w:rPr>
        <w:t>3.3. Выполнять работы по изготовлению Изделий по индивидуальным размерам Получателя, выдачу Изделий, обучение пользованию Изделиям в срок не более 60 (шестидесяти) календарных дней со дня обращения Получателя.</w:t>
      </w:r>
    </w:p>
    <w:p w:rsidR="00A66955" w:rsidRPr="00A66955" w:rsidRDefault="00A66955" w:rsidP="00A66955">
      <w:pPr>
        <w:ind w:right="-24"/>
        <w:jc w:val="both"/>
        <w:rPr>
          <w:rFonts w:eastAsia="Times New Roman"/>
          <w:color w:val="000000" w:themeColor="text1"/>
        </w:rPr>
      </w:pPr>
      <w:r w:rsidRPr="00A66955">
        <w:rPr>
          <w:rFonts w:eastAsia="Times New Roman"/>
        </w:rPr>
        <w:t>3.4.</w:t>
      </w:r>
      <w:r w:rsidRPr="00A66955">
        <w:rPr>
          <w:rFonts w:eastAsia="Times New Roman"/>
          <w:color w:val="000000" w:themeColor="text1"/>
        </w:rPr>
        <w:t xml:space="preserve"> Осуществлять в течение гарантийного срока за счет собственных средств гарантийный ремонт Изделий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66955" w:rsidRPr="00A66955" w:rsidRDefault="00A66955" w:rsidP="00A66955">
      <w:pPr>
        <w:jc w:val="both"/>
        <w:rPr>
          <w:rFonts w:ascii="Times New Roman CYR" w:eastAsia="Times New Roman" w:hAnsi="Times New Roman CYR" w:cs="Times New Roman CYR"/>
        </w:rPr>
      </w:pPr>
      <w:r w:rsidRPr="00A66955">
        <w:rPr>
          <w:rFonts w:ascii="Times New Roman CYR" w:eastAsia="Times New Roman" w:hAnsi="Times New Roman CYR" w:cs="Times New Roman CYR"/>
        </w:rPr>
        <w:t>В случае обнаружения Получателями в течение гарантийного срока Изделий при их должной эксплуатации несоответствия качества Изделий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Изделия подлежат гарантийному ремонту) либо осуществлена замена Изделий на аналогичные Изделия надлежащего качества.</w:t>
      </w:r>
    </w:p>
    <w:p w:rsidR="00A66955" w:rsidRPr="00A66955" w:rsidRDefault="00A66955" w:rsidP="00A66955">
      <w:pPr>
        <w:jc w:val="both"/>
        <w:rPr>
          <w:rFonts w:ascii="Times New Roman CYR" w:eastAsia="Times New Roman" w:hAnsi="Times New Roman CYR" w:cs="Times New Roman CYR"/>
        </w:rPr>
      </w:pPr>
      <w:r w:rsidRPr="00A66955">
        <w:rPr>
          <w:rFonts w:ascii="Times New Roman CYR" w:eastAsia="Times New Roman" w:hAnsi="Times New Roman CYR" w:cs="Times New Roman CYR"/>
        </w:rPr>
        <w:t>Срок выполнения гарантийного ремонта Изделий не должен превышать 20 рабочих дней со дня обращения Получателя (Заказчика).</w:t>
      </w:r>
    </w:p>
    <w:p w:rsidR="00A66955" w:rsidRPr="00A66955" w:rsidRDefault="00A66955" w:rsidP="00A66955">
      <w:pPr>
        <w:jc w:val="both"/>
        <w:rPr>
          <w:rFonts w:ascii="Times New Roman CYR" w:eastAsia="Times New Roman" w:hAnsi="Times New Roman CYR" w:cs="Times New Roman CYR"/>
        </w:rPr>
      </w:pPr>
      <w:r w:rsidRPr="00A66955">
        <w:rPr>
          <w:rFonts w:ascii="Times New Roman CYR" w:eastAsia="Times New Roman" w:hAnsi="Times New Roman CYR" w:cs="Times New Roman CYR"/>
        </w:rPr>
        <w:t>Срок осуществления замены Изделий не должен превышать 15 рабочих дней со дня обращения Получателя (Заказчика).</w:t>
      </w:r>
    </w:p>
    <w:p w:rsidR="00A66955" w:rsidRPr="00A66955" w:rsidRDefault="00A66955" w:rsidP="00A66955">
      <w:pPr>
        <w:autoSpaceDE w:val="0"/>
        <w:ind w:right="-24"/>
        <w:jc w:val="both"/>
        <w:rPr>
          <w:rFonts w:eastAsia="Times New Roman"/>
          <w:color w:val="000000" w:themeColor="text1"/>
        </w:rPr>
      </w:pPr>
      <w:r w:rsidRPr="00A66955">
        <w:rPr>
          <w:rFonts w:eastAsia="Times New Roman"/>
          <w:color w:val="000000" w:themeColor="text1"/>
        </w:rPr>
        <w:t xml:space="preserve">Обеспечение возможности ремонта, устранения недостатков Изделий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Исполнитель должен осуществить замену таких Изделий. </w:t>
      </w:r>
    </w:p>
    <w:p w:rsidR="00A66955" w:rsidRPr="00A66955" w:rsidRDefault="00A66955" w:rsidP="00F34626">
      <w:pPr>
        <w:jc w:val="both"/>
        <w:rPr>
          <w:rFonts w:ascii="Times New Roman CYR" w:eastAsia="Times New Roman" w:hAnsi="Times New Roman CYR" w:cs="Times New Roman CYR"/>
        </w:rPr>
      </w:pPr>
      <w:r w:rsidRPr="00A66955">
        <w:rPr>
          <w:rFonts w:ascii="Times New Roman CYR" w:eastAsia="Times New Roman" w:hAnsi="Times New Roman CYR" w:cs="Times New Roman CYR"/>
        </w:rPr>
        <w:t>В связи с тем, что передача Изделий осуществляется непосредственно Получателям, Исполнитель должен вместе с Изделиями передать Получателю гарантийный талон или иной документ, содержащий сведения, необходимые для обращения по вопросам гарантийного ремонта (замены) Изделий, а также содержащий адрес (адреса) и режим работы пункта (пунктов) гарантийного обслуживания.</w:t>
      </w:r>
    </w:p>
    <w:p w:rsidR="00A66955" w:rsidRPr="00A66955" w:rsidRDefault="00A66955" w:rsidP="00A66955">
      <w:pPr>
        <w:autoSpaceDE w:val="0"/>
        <w:ind w:right="-24"/>
        <w:jc w:val="both"/>
        <w:rPr>
          <w:rFonts w:eastAsia="Times New Roman"/>
          <w:color w:val="000000" w:themeColor="text1"/>
        </w:rPr>
      </w:pPr>
      <w:r w:rsidRPr="00A66955">
        <w:rPr>
          <w:rFonts w:ascii="Times New Roman CYR" w:eastAsia="Times New Roman" w:hAnsi="Times New Roman CYR" w:cs="Times New Roman CYR"/>
        </w:rPr>
        <w:t>Прием Получателей по вопросам, касающимся гарантийного ремонта Изделий, осуществляется по месту нахождения пункта (пунктов) гарантийного обслуживания на территории Санкт-Петербурга.</w:t>
      </w:r>
    </w:p>
    <w:p w:rsidR="00A66955" w:rsidRPr="00A66955" w:rsidRDefault="00A66955" w:rsidP="00A66955">
      <w:pPr>
        <w:jc w:val="both"/>
        <w:rPr>
          <w:rFonts w:ascii="Times New Roman CYR" w:eastAsia="Times New Roman" w:hAnsi="Times New Roman CYR" w:cs="Times New Roman CYR"/>
        </w:rPr>
      </w:pPr>
      <w:r w:rsidRPr="00A66955">
        <w:rPr>
          <w:rFonts w:eastAsia="Times New Roman"/>
        </w:rPr>
        <w:t xml:space="preserve">3.5. </w:t>
      </w:r>
      <w:r w:rsidRPr="00A66955">
        <w:rPr>
          <w:rFonts w:ascii="Times New Roman CYR" w:eastAsia="Times New Roman" w:hAnsi="Times New Roman CYR" w:cs="Times New Roman CYR"/>
        </w:rPr>
        <w:t xml:space="preserve">Давать справки Получателям по вопросам, связанным с изготовлением Изделий, </w:t>
      </w:r>
      <w:r w:rsidRPr="00A66955">
        <w:rPr>
          <w:rFonts w:eastAsia="Times New Roman"/>
        </w:rPr>
        <w:t>а также осуществлять прием заявок на доставку Изделий по месту нахождения Получателей</w:t>
      </w:r>
      <w:r w:rsidRPr="00A66955">
        <w:rPr>
          <w:rFonts w:ascii="Times New Roman CYR" w:eastAsia="Times New Roman" w:hAnsi="Times New Roman CYR" w:cs="Times New Roman CYR"/>
        </w:rPr>
        <w:t xml:space="preserve"> в часы работы пункта (пунктов) приема Получателей. Для звонков Получателей должен быть выделен телефонный номер. Информацию о телефонном номере Исполнитель должен предоставить Заказчику не позднее </w:t>
      </w:r>
      <w:r w:rsidR="00866053" w:rsidRPr="00A66955">
        <w:t xml:space="preserve">1 (одного) рабочего дня со дня заключения </w:t>
      </w:r>
      <w:r w:rsidR="00866053">
        <w:t xml:space="preserve">государственного </w:t>
      </w:r>
      <w:r w:rsidR="00866053" w:rsidRPr="00A66955">
        <w:t>контракта</w:t>
      </w:r>
      <w:r w:rsidRPr="00A66955">
        <w:rPr>
          <w:rFonts w:ascii="Times New Roman CYR" w:eastAsia="Times New Roman" w:hAnsi="Times New Roman CYR" w:cs="Times New Roman CYR"/>
        </w:rPr>
        <w:t>.</w:t>
      </w:r>
    </w:p>
    <w:p w:rsidR="00A66955" w:rsidRPr="00A66955" w:rsidRDefault="00A66955" w:rsidP="00A66955">
      <w:pPr>
        <w:jc w:val="both"/>
        <w:rPr>
          <w:rFonts w:eastAsia="Times New Roman"/>
        </w:rPr>
      </w:pPr>
      <w:r w:rsidRPr="00A66955">
        <w:rPr>
          <w:rFonts w:ascii="Times New Roman CYR" w:eastAsia="Times New Roman" w:hAnsi="Times New Roman CYR" w:cs="Times New Roman CYR"/>
        </w:rP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</w:t>
      </w:r>
      <w:r w:rsidRPr="00A66955">
        <w:rPr>
          <w:rFonts w:eastAsia="Times New Roman"/>
        </w:rPr>
        <w:t xml:space="preserve">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</w:t>
      </w:r>
      <w:r w:rsidRPr="00A66955">
        <w:rPr>
          <w:rFonts w:eastAsia="Times New Roman"/>
        </w:rPr>
        <w:lastRenderedPageBreak/>
        <w:t xml:space="preserve">телефонной связи Санкт-Петербурга; исключается возможность взимания оплаты за звонки Исполнителем. </w:t>
      </w:r>
    </w:p>
    <w:p w:rsidR="00A66955" w:rsidRPr="00A66955" w:rsidRDefault="00A66955" w:rsidP="00A66955">
      <w:pPr>
        <w:jc w:val="both"/>
        <w:rPr>
          <w:rFonts w:eastAsia="Times New Roman"/>
        </w:rPr>
      </w:pPr>
      <w:r w:rsidRPr="00A66955">
        <w:rPr>
          <w:rFonts w:eastAsia="Times New Roman"/>
        </w:rPr>
        <w:t>3.6. Вести аудиозаписи телефонных разговоров с Получателей по вопросам получения Изделий. По требованию Заказчика Исполнитель обязан предоставлять такие аудиозаписи. Вести журнал телефонных звонков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Изделий.</w:t>
      </w:r>
    </w:p>
    <w:p w:rsidR="00A66955" w:rsidRPr="00A66955" w:rsidRDefault="00A66955" w:rsidP="00A66955">
      <w:pPr>
        <w:jc w:val="both"/>
        <w:rPr>
          <w:rFonts w:eastAsia="Times New Roman"/>
        </w:rPr>
      </w:pPr>
      <w:r w:rsidRPr="00A66955">
        <w:rPr>
          <w:rFonts w:eastAsia="Times New Roman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Изделий Получателям не позднее дня, следующего за днем доставки, согласованным с Получателями.</w:t>
      </w:r>
    </w:p>
    <w:p w:rsidR="00A66955" w:rsidRPr="00A66955" w:rsidRDefault="00A66955" w:rsidP="00A66955">
      <w:pPr>
        <w:ind w:right="-24"/>
        <w:jc w:val="both"/>
        <w:rPr>
          <w:rFonts w:eastAsia="Times New Roman"/>
          <w:color w:val="FF0000"/>
        </w:rPr>
      </w:pPr>
      <w:r w:rsidRPr="00A66955">
        <w:rPr>
          <w:rFonts w:eastAsia="Times New Roman"/>
        </w:rPr>
        <w:t xml:space="preserve">3.7.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8" w:history="1">
        <w:r w:rsidRPr="00A66955">
          <w:rPr>
            <w:rFonts w:eastAsia="Times New Roman"/>
            <w:color w:val="000000" w:themeColor="text1"/>
            <w:u w:val="single"/>
            <w:lang w:val="en-US"/>
          </w:rPr>
          <w:t>vred</w:t>
        </w:r>
        <w:r w:rsidRPr="00A66955">
          <w:rPr>
            <w:rFonts w:eastAsia="Times New Roman"/>
            <w:color w:val="000000" w:themeColor="text1"/>
            <w:u w:val="single"/>
          </w:rPr>
          <w:t>@</w:t>
        </w:r>
        <w:r w:rsidRPr="00A66955">
          <w:rPr>
            <w:rFonts w:eastAsia="Times New Roman"/>
            <w:color w:val="000000" w:themeColor="text1"/>
            <w:u w:val="single"/>
            <w:lang w:val="en-US"/>
          </w:rPr>
          <w:t>ro</w:t>
        </w:r>
        <w:r w:rsidRPr="00A66955">
          <w:rPr>
            <w:rFonts w:eastAsia="Times New Roman"/>
            <w:color w:val="000000" w:themeColor="text1"/>
            <w:u w:val="single"/>
          </w:rPr>
          <w:t>78.</w:t>
        </w:r>
        <w:r w:rsidRPr="00A66955">
          <w:rPr>
            <w:rFonts w:eastAsia="Times New Roman"/>
            <w:color w:val="000000" w:themeColor="text1"/>
            <w:u w:val="single"/>
            <w:lang w:val="en-US"/>
          </w:rPr>
          <w:t>fss</w:t>
        </w:r>
        <w:r w:rsidRPr="00A66955">
          <w:rPr>
            <w:rFonts w:eastAsia="Times New Roman"/>
            <w:color w:val="000000" w:themeColor="text1"/>
            <w:u w:val="single"/>
          </w:rPr>
          <w:t>.</w:t>
        </w:r>
        <w:r w:rsidRPr="00A66955">
          <w:rPr>
            <w:rFonts w:eastAsia="Times New Roman"/>
            <w:color w:val="000000" w:themeColor="text1"/>
            <w:u w:val="single"/>
            <w:lang w:val="en-US"/>
          </w:rPr>
          <w:t>ru</w:t>
        </w:r>
      </w:hyperlink>
      <w:r w:rsidRPr="00A66955">
        <w:rPr>
          <w:rFonts w:eastAsia="Times New Roman"/>
          <w:color w:val="000000" w:themeColor="text1"/>
          <w:u w:val="single"/>
        </w:rPr>
        <w:t>.</w:t>
      </w:r>
    </w:p>
    <w:p w:rsidR="00A66955" w:rsidRPr="00A66955" w:rsidRDefault="00A66955" w:rsidP="00A66955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A66955">
        <w:rPr>
          <w:rFonts w:eastAsia="Times New Roman"/>
        </w:rPr>
        <w:t xml:space="preserve">3.8. В случае привлечения к исполнению контракта соисполнителя в срок не позднее </w:t>
      </w:r>
      <w:r w:rsidR="005D1526" w:rsidRPr="00A66955">
        <w:t xml:space="preserve">1 (одного) рабочего дня со дня заключения </w:t>
      </w:r>
      <w:r w:rsidR="005D1526">
        <w:t xml:space="preserve">государственного </w:t>
      </w:r>
      <w:r w:rsidR="005D1526" w:rsidRPr="00A66955">
        <w:t>контракта</w:t>
      </w:r>
      <w:r w:rsidRPr="00A66955">
        <w:rPr>
          <w:rFonts w:eastAsia="Times New Roman"/>
        </w:rPr>
        <w:t xml:space="preserve"> предоставить Заказчику данные о соисполнителе: </w:t>
      </w:r>
    </w:p>
    <w:p w:rsidR="00A66955" w:rsidRPr="00A66955" w:rsidRDefault="00A66955" w:rsidP="008660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lang w:eastAsia="en-US"/>
        </w:rPr>
      </w:pPr>
      <w:r w:rsidRPr="00A66955">
        <w:rPr>
          <w:rFonts w:eastAsia="Times New Roman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66955" w:rsidRPr="00A66955" w:rsidRDefault="00A66955" w:rsidP="008660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lang w:eastAsia="en-US"/>
        </w:rPr>
      </w:pPr>
      <w:r w:rsidRPr="00A66955">
        <w:rPr>
          <w:rFonts w:eastAsia="Times New Roman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A66955" w:rsidRPr="00A66955" w:rsidRDefault="00A66955" w:rsidP="008660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lang w:eastAsia="en-US"/>
        </w:rPr>
      </w:pPr>
      <w:r w:rsidRPr="00A66955">
        <w:rPr>
          <w:rFonts w:eastAsia="Times New Roman"/>
          <w:lang w:eastAsia="en-US"/>
        </w:rPr>
        <w:t>номер контактного телефона;</w:t>
      </w:r>
    </w:p>
    <w:p w:rsidR="00A66955" w:rsidRPr="00A66955" w:rsidRDefault="00A66955" w:rsidP="008660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lang w:eastAsia="en-US"/>
        </w:rPr>
      </w:pPr>
      <w:r w:rsidRPr="00A66955">
        <w:rPr>
          <w:rFonts w:eastAsia="Times New Roman"/>
          <w:lang w:eastAsia="en-US"/>
        </w:rPr>
        <w:t>адрес электронной почты;</w:t>
      </w:r>
    </w:p>
    <w:p w:rsidR="00A66955" w:rsidRPr="00A66955" w:rsidRDefault="00A66955" w:rsidP="008660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lang w:eastAsia="en-US"/>
        </w:rPr>
      </w:pPr>
      <w:r w:rsidRPr="00A66955">
        <w:rPr>
          <w:rFonts w:eastAsia="Times New Roman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66955" w:rsidRPr="00A66955" w:rsidRDefault="00A66955" w:rsidP="008660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lang w:eastAsia="en-US"/>
        </w:rPr>
      </w:pPr>
      <w:r w:rsidRPr="00A66955">
        <w:rPr>
          <w:rFonts w:eastAsia="Times New Roman"/>
          <w:lang w:eastAsia="en-US"/>
        </w:rPr>
        <w:t>перечень операций, выполняемых соисполнителем в рамках государственного контракта;</w:t>
      </w:r>
    </w:p>
    <w:p w:rsidR="00A66955" w:rsidRPr="00A66955" w:rsidRDefault="00A66955" w:rsidP="008660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libri" w:eastAsia="Times New Roman" w:hAnsi="Calibri"/>
          <w:lang w:eastAsia="en-US"/>
        </w:rPr>
      </w:pPr>
      <w:r w:rsidRPr="00A66955">
        <w:rPr>
          <w:rFonts w:eastAsia="Times New Roman"/>
          <w:lang w:eastAsia="en-US"/>
        </w:rPr>
        <w:t>срок соисполнительства.</w:t>
      </w:r>
    </w:p>
    <w:p w:rsidR="00A66955" w:rsidRPr="00A66955" w:rsidRDefault="00A66955" w:rsidP="00A66955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A66955">
        <w:rPr>
          <w:rFonts w:eastAsia="Times New Roman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66955" w:rsidRPr="00A66955" w:rsidRDefault="00A66955" w:rsidP="00A66955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A66955">
        <w:rPr>
          <w:rFonts w:eastAsia="Times New Roman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66955" w:rsidRPr="00A66955" w:rsidRDefault="00A66955" w:rsidP="001F49A8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A66955">
        <w:rPr>
          <w:rFonts w:eastAsia="Times New Roman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9" w:history="1">
        <w:r w:rsidRPr="00A66955">
          <w:rPr>
            <w:rFonts w:eastAsia="Times New Roman"/>
            <w:color w:val="000000" w:themeColor="text1"/>
            <w:u w:val="single"/>
            <w:lang w:val="en-US"/>
          </w:rPr>
          <w:t>vred</w:t>
        </w:r>
        <w:r w:rsidRPr="00A66955">
          <w:rPr>
            <w:rFonts w:eastAsia="Times New Roman"/>
            <w:color w:val="000000" w:themeColor="text1"/>
            <w:u w:val="single"/>
          </w:rPr>
          <w:t>@</w:t>
        </w:r>
        <w:r w:rsidRPr="00A66955">
          <w:rPr>
            <w:rFonts w:eastAsia="Times New Roman"/>
            <w:color w:val="000000" w:themeColor="text1"/>
            <w:u w:val="single"/>
            <w:lang w:val="en-US"/>
          </w:rPr>
          <w:t>ro</w:t>
        </w:r>
        <w:r w:rsidRPr="00A66955">
          <w:rPr>
            <w:rFonts w:eastAsia="Times New Roman"/>
            <w:color w:val="000000" w:themeColor="text1"/>
            <w:u w:val="single"/>
          </w:rPr>
          <w:t>78.</w:t>
        </w:r>
        <w:r w:rsidRPr="00A66955">
          <w:rPr>
            <w:rFonts w:eastAsia="Times New Roman"/>
            <w:color w:val="000000" w:themeColor="text1"/>
            <w:u w:val="single"/>
            <w:lang w:val="en-US"/>
          </w:rPr>
          <w:t>fss</w:t>
        </w:r>
        <w:r w:rsidRPr="00A66955">
          <w:rPr>
            <w:rFonts w:eastAsia="Times New Roman"/>
            <w:color w:val="000000" w:themeColor="text1"/>
            <w:u w:val="single"/>
          </w:rPr>
          <w:t>.</w:t>
        </w:r>
        <w:r w:rsidRPr="00A66955">
          <w:rPr>
            <w:rFonts w:eastAsia="Times New Roman"/>
            <w:color w:val="000000" w:themeColor="text1"/>
            <w:u w:val="single"/>
            <w:lang w:val="en-US"/>
          </w:rPr>
          <w:t>ru</w:t>
        </w:r>
      </w:hyperlink>
      <w:r w:rsidRPr="00A66955">
        <w:rPr>
          <w:rFonts w:eastAsia="Times New Roman"/>
          <w:color w:val="000000" w:themeColor="text1"/>
          <w:u w:val="single"/>
        </w:rPr>
        <w:t>.</w:t>
      </w:r>
    </w:p>
    <w:p w:rsidR="00A66955" w:rsidRPr="00A66955" w:rsidRDefault="00A66955" w:rsidP="00A66955">
      <w:pPr>
        <w:spacing w:line="248" w:lineRule="auto"/>
        <w:ind w:right="-2"/>
        <w:jc w:val="both"/>
        <w:rPr>
          <w:u w:val="single"/>
        </w:rPr>
      </w:pPr>
      <w:r w:rsidRPr="00A66955">
        <w:rPr>
          <w:u w:val="single"/>
        </w:rPr>
        <w:t>4. Способ выдачи изделий:</w:t>
      </w:r>
    </w:p>
    <w:p w:rsidR="00A66955" w:rsidRPr="00A66955" w:rsidRDefault="00A66955" w:rsidP="00A66955">
      <w:pPr>
        <w:spacing w:line="26" w:lineRule="exact"/>
        <w:ind w:right="-2"/>
        <w:rPr>
          <w:sz w:val="20"/>
          <w:szCs w:val="20"/>
        </w:rPr>
      </w:pPr>
    </w:p>
    <w:p w:rsidR="00A66955" w:rsidRPr="00A66955" w:rsidRDefault="00A66955" w:rsidP="00A66955">
      <w:pPr>
        <w:ind w:right="-2" w:hanging="23"/>
        <w:jc w:val="both"/>
        <w:rPr>
          <w:b/>
          <w:color w:val="000000"/>
        </w:rPr>
      </w:pPr>
      <w:r w:rsidRPr="00A66955">
        <w:rPr>
          <w:b/>
        </w:rPr>
        <w:t xml:space="preserve">4.1. </w:t>
      </w:r>
      <w:r w:rsidR="001F49A8">
        <w:rPr>
          <w:b/>
          <w:color w:val="000000"/>
        </w:rPr>
        <w:t>Исполнитель</w:t>
      </w:r>
      <w:r w:rsidR="00DB4839">
        <w:rPr>
          <w:b/>
          <w:color w:val="000000"/>
        </w:rPr>
        <w:t xml:space="preserve"> передает Получателям Изделия</w:t>
      </w:r>
      <w:r w:rsidRPr="00A66955">
        <w:rPr>
          <w:b/>
          <w:color w:val="000000"/>
        </w:rPr>
        <w:t xml:space="preserve"> следующими способами:</w:t>
      </w:r>
    </w:p>
    <w:p w:rsidR="00A66955" w:rsidRPr="00A66955" w:rsidRDefault="00A66955" w:rsidP="00A66955">
      <w:pPr>
        <w:jc w:val="both"/>
      </w:pPr>
      <w:r w:rsidRPr="00A66955">
        <w:t>- по месту жительства (месту пребывания, фактического проживания</w:t>
      </w:r>
      <w:r w:rsidR="001F49A8">
        <w:t xml:space="preserve">) Получателя. Доставка изделий </w:t>
      </w:r>
      <w:r w:rsidRPr="00A66955">
        <w:t>по месту жительства (месту пребывания, фактического проживания) Получателя осуществляется за счет собственных средств Исполнителя.</w:t>
      </w:r>
    </w:p>
    <w:p w:rsidR="00A66955" w:rsidRPr="00A66955" w:rsidRDefault="00A66955" w:rsidP="00A66955">
      <w:pPr>
        <w:jc w:val="both"/>
        <w:rPr>
          <w:color w:val="000000"/>
        </w:rPr>
      </w:pPr>
      <w:r w:rsidRPr="00A66955">
        <w:t>- в пункте (пунктах) приема, организованных Исполнителем.</w:t>
      </w:r>
      <w:r w:rsidRPr="00A66955">
        <w:rPr>
          <w:color w:val="000000"/>
        </w:rPr>
        <w:t xml:space="preserve"> </w:t>
      </w:r>
    </w:p>
    <w:p w:rsidR="00A66955" w:rsidRPr="00A66955" w:rsidRDefault="00A66955" w:rsidP="00A66955">
      <w:pPr>
        <w:jc w:val="both"/>
        <w:rPr>
          <w:color w:val="000000"/>
        </w:rPr>
      </w:pPr>
      <w:r w:rsidRPr="00A66955">
        <w:rPr>
          <w:color w:val="000000"/>
        </w:rPr>
        <w:t>Исполнитель обязан предоставлять Получателям право выбора способа получения Изделий.</w:t>
      </w:r>
    </w:p>
    <w:p w:rsidR="00A66955" w:rsidRPr="00A66955" w:rsidRDefault="00A66955" w:rsidP="00A66955">
      <w:pPr>
        <w:ind w:right="-2"/>
        <w:jc w:val="both"/>
      </w:pPr>
      <w:r w:rsidRPr="00A66955">
        <w:t xml:space="preserve">4.2. В целях реализации возможности получения изделий Получателем через пункт (пункты) приема, Исполнитель обязан организовать не менее 1 (одного) пункта приема в срок не позднее </w:t>
      </w:r>
      <w:r w:rsidR="001F49A8" w:rsidRPr="00A66955">
        <w:t xml:space="preserve">1 (одного) рабочего дня со дня заключения </w:t>
      </w:r>
      <w:r w:rsidR="001F49A8">
        <w:t xml:space="preserve">государственного </w:t>
      </w:r>
      <w:r w:rsidR="001F49A8" w:rsidRPr="00A66955">
        <w:t>контракта</w:t>
      </w:r>
      <w:r w:rsidRPr="00A66955">
        <w:t>, который должен действовать до конца выдачи Изделий, согласно условиям технического задания.</w:t>
      </w:r>
    </w:p>
    <w:p w:rsidR="00A66955" w:rsidRPr="00A66955" w:rsidRDefault="00A66955" w:rsidP="00A66955">
      <w:pPr>
        <w:jc w:val="both"/>
        <w:rPr>
          <w:rFonts w:eastAsia="Times New Roman"/>
        </w:rPr>
      </w:pPr>
      <w:r w:rsidRPr="00A66955">
        <w:t xml:space="preserve">В случае организации нескольких пунктов приема они должны быть </w:t>
      </w:r>
      <w:r w:rsidRPr="00A66955">
        <w:rPr>
          <w:rFonts w:eastAsia="Times New Roman"/>
        </w:rPr>
        <w:t>организованы в различных районах Санкт-Петербурга. При э</w:t>
      </w:r>
      <w:r w:rsidR="00F34626">
        <w:rPr>
          <w:rFonts w:eastAsia="Times New Roman"/>
        </w:rPr>
        <w:t>том не менее чем 1 (один) пункт</w:t>
      </w:r>
      <w:r w:rsidRPr="00A66955">
        <w:rPr>
          <w:rFonts w:eastAsia="Times New Roman"/>
        </w:rPr>
        <w:t>(ов) приема должен быть организован на территории Санкт-Петербурга в пешей доступности от станции метрополитена (под пешей доступностью, в силу п. 11.24 СП 42.13330.2016 «Свод правил. 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A66955" w:rsidRPr="00A66955" w:rsidRDefault="00A66955" w:rsidP="001F49A8">
      <w:pPr>
        <w:ind w:firstLine="567"/>
        <w:jc w:val="both"/>
        <w:rPr>
          <w:rFonts w:eastAsia="Times New Roman"/>
          <w:color w:val="000000" w:themeColor="text1"/>
        </w:rPr>
      </w:pPr>
      <w:r w:rsidRPr="00A66955">
        <w:rPr>
          <w:rFonts w:eastAsia="Times New Roman"/>
          <w:color w:val="000000" w:themeColor="text1"/>
        </w:rPr>
        <w:lastRenderedPageBreak/>
        <w:t xml:space="preserve">В связи с отсутствием указания на конкретный вид транспорта в п. 11.24 </w:t>
      </w:r>
      <w:r w:rsidRPr="00A66955">
        <w:rPr>
          <w:rFonts w:eastAsiaTheme="minorHAnsi"/>
          <w:color w:val="000000" w:themeColor="text1"/>
          <w:lang w:eastAsia="en-US"/>
        </w:rPr>
        <w:t xml:space="preserve">СП 42.13330.2016 для однозначного толкования всеми участниками закупки </w:t>
      </w:r>
      <w:r w:rsidRPr="00A66955">
        <w:rPr>
          <w:rFonts w:eastAsia="Times New Roman"/>
          <w:color w:val="000000" w:themeColor="text1"/>
        </w:rPr>
        <w:t>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A66955" w:rsidRPr="00A66955" w:rsidRDefault="00A66955" w:rsidP="001F49A8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A66955">
        <w:rPr>
          <w:rFonts w:eastAsiaTheme="minorHAnsi"/>
          <w:color w:val="000000" w:themeColor="text1"/>
          <w:lang w:eastAsia="en-US"/>
        </w:rPr>
        <w:t xml:space="preserve">В соответствии с </w:t>
      </w:r>
      <w:hyperlink r:id="rId10" w:history="1">
        <w:r w:rsidRPr="00A66955">
          <w:rPr>
            <w:rFonts w:eastAsiaTheme="minorHAnsi"/>
            <w:color w:val="000000" w:themeColor="text1"/>
            <w:lang w:eastAsia="en-US"/>
          </w:rPr>
          <w:t>частью 2 статьи 12</w:t>
        </w:r>
      </w:hyperlink>
      <w:r w:rsidRPr="00A66955">
        <w:rPr>
          <w:rFonts w:eastAsiaTheme="minorHAnsi"/>
          <w:color w:val="000000" w:themeColor="text1"/>
          <w:lang w:eastAsia="en-US"/>
        </w:rPr>
        <w:t xml:space="preserve"> Федерального закона от 30.12.2009 №384-ФЗ «Технический регламент о безопасности зданий и сооружений» </w:t>
      </w:r>
      <w:r w:rsidRPr="00A66955">
        <w:rPr>
          <w:rFonts w:eastAsiaTheme="minorHAnsi"/>
          <w:color w:val="000000" w:themeColor="text1"/>
          <w:lang w:eastAsia="en-US"/>
        </w:rPr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A66955" w:rsidRPr="00A66955" w:rsidRDefault="00A66955" w:rsidP="001F49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A66955">
        <w:rPr>
          <w:rFonts w:eastAsiaTheme="minorHAnsi"/>
          <w:color w:val="000000" w:themeColor="text1"/>
          <w:lang w:eastAsia="en-US"/>
        </w:rPr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A66955" w:rsidRPr="00A66955" w:rsidRDefault="00A66955" w:rsidP="001F49A8">
      <w:pPr>
        <w:widowControl w:val="0"/>
        <w:autoSpaceDE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A66955">
        <w:rPr>
          <w:rFonts w:eastAsiaTheme="minorHAnsi"/>
          <w:color w:val="000000" w:themeColor="text1"/>
          <w:lang w:eastAsia="en-US"/>
        </w:rPr>
        <w:t xml:space="preserve">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A66955" w:rsidRPr="00A66955" w:rsidRDefault="00A66955" w:rsidP="00A66955">
      <w:pPr>
        <w:ind w:right="-2"/>
        <w:jc w:val="both"/>
        <w:rPr>
          <w:color w:val="000000"/>
        </w:rPr>
      </w:pPr>
      <w:r w:rsidRPr="00A66955">
        <w:tab/>
        <w:t xml:space="preserve">В срок не позднее 1 (одного) </w:t>
      </w:r>
      <w:r w:rsidR="00B00771">
        <w:t xml:space="preserve">рабочего </w:t>
      </w:r>
      <w:r w:rsidRPr="00A66955">
        <w:t>дня со</w:t>
      </w:r>
      <w:r w:rsidR="00B00771">
        <w:rPr>
          <w:color w:val="000000"/>
        </w:rPr>
        <w:t xml:space="preserve"> дня </w:t>
      </w:r>
      <w:r w:rsidRPr="00A66955">
        <w:rPr>
          <w:color w:val="000000"/>
        </w:rPr>
        <w:t xml:space="preserve">с даты заключения </w:t>
      </w:r>
      <w:r w:rsidR="00B00771">
        <w:rPr>
          <w:color w:val="000000"/>
        </w:rPr>
        <w:t xml:space="preserve">государственного </w:t>
      </w:r>
      <w:r w:rsidRPr="00A66955">
        <w:rPr>
          <w:color w:val="000000"/>
        </w:rPr>
        <w:t xml:space="preserve">контракта </w:t>
      </w:r>
      <w:r w:rsidRPr="00A66955">
        <w:t xml:space="preserve">Исполнитель должен предоставить Заказчику информацию об адресе пункта (пунктов) приема, графике работы пункта (пунктов), контактном телефоне. В срок не позднее </w:t>
      </w:r>
      <w:r w:rsidR="00B00771" w:rsidRPr="00A66955">
        <w:t xml:space="preserve">1 (одного) </w:t>
      </w:r>
      <w:r w:rsidR="00B00771">
        <w:t xml:space="preserve">рабочего </w:t>
      </w:r>
      <w:r w:rsidR="00B00771" w:rsidRPr="00A66955">
        <w:t>дня со</w:t>
      </w:r>
      <w:r w:rsidR="00B00771">
        <w:rPr>
          <w:color w:val="000000"/>
        </w:rPr>
        <w:t xml:space="preserve"> дня </w:t>
      </w:r>
      <w:r w:rsidR="00B00771" w:rsidRPr="00A66955">
        <w:rPr>
          <w:color w:val="000000"/>
        </w:rPr>
        <w:t xml:space="preserve">с даты заключения </w:t>
      </w:r>
      <w:r w:rsidR="00B00771">
        <w:rPr>
          <w:color w:val="000000"/>
        </w:rPr>
        <w:t xml:space="preserve">государственного </w:t>
      </w:r>
      <w:r w:rsidR="00B00771" w:rsidRPr="00A66955">
        <w:rPr>
          <w:color w:val="000000"/>
        </w:rPr>
        <w:t>контракта</w:t>
      </w:r>
      <w:r w:rsidRPr="00A66955">
        <w:t xml:space="preserve">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66955" w:rsidRPr="00A66955" w:rsidRDefault="00A66955" w:rsidP="00A66955">
      <w:pPr>
        <w:jc w:val="both"/>
      </w:pPr>
      <w:r w:rsidRPr="00A66955">
        <w:t>4.2.1 Исполнитель обязан предоставить доступное для лиц людей с ограниченными возможностями помещение под размещение пункта (пунктов) приема получателей в соответствии со статьей 15 Федерального закона от 24.11.1995 №181 «О социальной защите инвалидов в Российской Федерации».</w:t>
      </w:r>
    </w:p>
    <w:p w:rsidR="00A66955" w:rsidRPr="00A66955" w:rsidRDefault="00A66955" w:rsidP="00A66955">
      <w:pPr>
        <w:jc w:val="both"/>
      </w:pPr>
      <w:r w:rsidRPr="00A66955">
        <w:t>Вход в каждый пункт (пункты) приема должен быть обозначен надписью (например, "Пункт выдачи ТСР "), позволяющей однозначно определить место нахождения указанного пункта (пунктов). Проход в пункт (пункты) приема и передвижение по ним должны быть беспрепятственны для людей с ограниченными возможностями (Получателей) (в случае необходимости, пункты приема должны быть оборудованы пандусами для облегчения передвижения людей с ограниченными возможностями (Получателей) и соответствовать требованиям СП 59.13330.2020 «Доступность зданий и сооружений для маломобильных групп населения». Исполнителем должна быть обеспечена возможность самостоятельного передвижения пострадавших с инвалидностью по территории пункта (пунктов) приема, в том числе с помощью его работников, а также сменного кресла-коляски.</w:t>
      </w:r>
    </w:p>
    <w:p w:rsidR="00A66955" w:rsidRPr="00A66955" w:rsidRDefault="00A66955" w:rsidP="00A66955">
      <w:pPr>
        <w:jc w:val="both"/>
        <w:rPr>
          <w:b/>
        </w:rPr>
      </w:pPr>
      <w:r w:rsidRPr="00A66955">
        <w:rPr>
          <w:b/>
        </w:rPr>
        <w:t xml:space="preserve">Входная группа </w:t>
      </w:r>
    </w:p>
    <w:p w:rsidR="00A66955" w:rsidRPr="00A66955" w:rsidRDefault="001F49A8" w:rsidP="00A66955">
      <w:pPr>
        <w:jc w:val="both"/>
      </w:pPr>
      <w:r>
        <w:t>При перепадах высот</w:t>
      </w:r>
      <w:r w:rsidR="00A66955" w:rsidRPr="00A66955">
        <w:t xml:space="preserve"> Исполнитель должен учитывать наличие следующих элементов:</w:t>
      </w:r>
    </w:p>
    <w:p w:rsidR="00A66955" w:rsidRPr="00A66955" w:rsidRDefault="001F49A8" w:rsidP="00A66955">
      <w:pPr>
        <w:jc w:val="both"/>
      </w:pPr>
      <w:r>
        <w:t xml:space="preserve">- Пандус с поручнями </w:t>
      </w:r>
      <w:r w:rsidR="00A66955" w:rsidRPr="00A66955">
        <w:t>(в соответствии с п. 5.1.14 – п. 5.1.16; п. 6.1.2 – п. 6.1.4; п. 6.2.9 – п. 6.2.11 СП 59.13330.2020);</w:t>
      </w:r>
    </w:p>
    <w:p w:rsidR="00A66955" w:rsidRPr="00A66955" w:rsidRDefault="00A66955" w:rsidP="00A66955">
      <w:pPr>
        <w:jc w:val="both"/>
      </w:pPr>
      <w:r w:rsidRPr="00A66955"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A66955" w:rsidRPr="00A66955" w:rsidRDefault="00A66955" w:rsidP="00A66955">
      <w:pPr>
        <w:jc w:val="both"/>
      </w:pPr>
      <w:r w:rsidRPr="00A66955">
        <w:t>- Лестница с поручнями;</w:t>
      </w:r>
    </w:p>
    <w:p w:rsidR="00A66955" w:rsidRPr="00A66955" w:rsidRDefault="00A66955" w:rsidP="00A66955">
      <w:pPr>
        <w:jc w:val="both"/>
      </w:pPr>
      <w:r w:rsidRPr="00A66955">
        <w:t>Открытая лестница должна иметь непрерывное двухстороннее ограждение с поручнями</w:t>
      </w:r>
      <w:r w:rsidR="001F49A8">
        <w:t xml:space="preserve"> высотой верхних поручней 0,9 м</w:t>
      </w:r>
      <w:r w:rsidRPr="00A66955">
        <w:t>, краевые ступени (плоскость) лестниц необходимо обеспечить противоскользящими контрастным</w:t>
      </w:r>
      <w:r w:rsidR="001F49A8">
        <w:t>и полосами общей шириной 0,08-0,1м</w:t>
      </w:r>
      <w:r w:rsidRPr="00A66955">
        <w:t xml:space="preserve"> (в соответствии с п. 6.2.8 СП 59.13330.2020)</w:t>
      </w:r>
      <w:r w:rsidR="001F49A8">
        <w:t>.</w:t>
      </w:r>
    </w:p>
    <w:p w:rsidR="00A66955" w:rsidRPr="00A66955" w:rsidRDefault="00A66955" w:rsidP="00A66955">
      <w:pPr>
        <w:jc w:val="both"/>
      </w:pPr>
      <w:r w:rsidRPr="00A66955">
        <w:t>Применение для инвалидов вместо пандусов аппарелей не допускается на объекте (в соответствии с п. 6.1.2 СП 59.13330.2020).</w:t>
      </w:r>
    </w:p>
    <w:p w:rsidR="00A66955" w:rsidRPr="00A66955" w:rsidRDefault="00A66955" w:rsidP="00A66955">
      <w:pPr>
        <w:jc w:val="both"/>
      </w:pPr>
      <w:r w:rsidRPr="00A66955">
        <w:lastRenderedPageBreak/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</w:t>
      </w:r>
      <w:r w:rsidR="00B00771">
        <w:t xml:space="preserve"> пороги высотой не более 0,014м</w:t>
      </w:r>
      <w:r w:rsidRPr="00A66955">
        <w:t xml:space="preserve"> (в соответствии с п.6.1.5, п. 6.1.6 СП 59.13330.2020)</w:t>
      </w:r>
      <w:r w:rsidR="00B00771">
        <w:t>.</w:t>
      </w:r>
    </w:p>
    <w:p w:rsidR="00A66955" w:rsidRPr="00A66955" w:rsidRDefault="00A66955" w:rsidP="00A66955">
      <w:pPr>
        <w:jc w:val="both"/>
      </w:pPr>
      <w:r w:rsidRPr="00A66955">
        <w:t>- Тактильно-контрастные указатели;</w:t>
      </w:r>
    </w:p>
    <w:p w:rsidR="00A66955" w:rsidRPr="00A66955" w:rsidRDefault="00A66955" w:rsidP="00A66955">
      <w:pPr>
        <w:jc w:val="both"/>
      </w:pPr>
      <w:r w:rsidRPr="00A66955">
        <w:t xml:space="preserve">Информацию для инвалидов с нарушениями зрения о приближении их к зонам повышенной опасности (отдельно стоящим опорам, стойкам и другим препятствиям, лестницам, пешеходным переходам и т.д.) следует обеспечивать устройством тактильно-контрастных наземных указателей по </w:t>
      </w:r>
      <w:hyperlink r:id="rId11" w:history="1">
        <w:r w:rsidRPr="00A66955">
          <w:t>ГОСТ Р 52875</w:t>
        </w:r>
      </w:hyperlink>
      <w:r w:rsidRPr="00A66955">
        <w:t>-2018 или изменением фактуры поверхности пешеходного пути с подобными характеристиками (в соответствии с п. 5.1.10  СП 59.13330.2020).</w:t>
      </w:r>
    </w:p>
    <w:p w:rsidR="00A66955" w:rsidRPr="00A66955" w:rsidRDefault="00A66955" w:rsidP="00A66955">
      <w:pPr>
        <w:jc w:val="both"/>
        <w:rPr>
          <w:b/>
        </w:rPr>
      </w:pPr>
      <w:r w:rsidRPr="00A66955">
        <w:rPr>
          <w:b/>
        </w:rPr>
        <w:t>Пути движения внутри пункта (пунктов)</w:t>
      </w:r>
    </w:p>
    <w:p w:rsidR="00A66955" w:rsidRPr="00A66955" w:rsidRDefault="000D1D47" w:rsidP="00A66955">
      <w:pPr>
        <w:jc w:val="both"/>
      </w:pPr>
      <w:r>
        <w:t>При перепадах высот</w:t>
      </w:r>
      <w:r w:rsidR="00A66955" w:rsidRPr="00A66955">
        <w:t xml:space="preserve"> Исполнитель должен учитывать наличие следующих элементов:</w:t>
      </w:r>
    </w:p>
    <w:p w:rsidR="00A66955" w:rsidRPr="00A66955" w:rsidRDefault="00A66955" w:rsidP="00A66955">
      <w:pPr>
        <w:jc w:val="both"/>
      </w:pPr>
      <w:r w:rsidRPr="00A66955">
        <w:t xml:space="preserve">- Лифт, подъемная платформа, эскалатор (в соответствии с п. 6.2.13 – п. 6.2.18 СП 59.13330.2020). </w:t>
      </w:r>
    </w:p>
    <w:p w:rsidR="00A66955" w:rsidRPr="00A66955" w:rsidRDefault="00A66955" w:rsidP="00A66955">
      <w:pPr>
        <w:jc w:val="both"/>
      </w:pPr>
      <w:r w:rsidRPr="00A66955">
        <w:t>Лифт должен иметь габариты не менее 1100х1400 мм (ширина х глубина).</w:t>
      </w:r>
    </w:p>
    <w:p w:rsidR="00A66955" w:rsidRPr="00A66955" w:rsidRDefault="00A66955" w:rsidP="00A66955">
      <w:pPr>
        <w:jc w:val="both"/>
      </w:pPr>
      <w:r w:rsidRPr="00A66955">
        <w:t>- Лестницы необходимо обеспечить противоскользящими контрастным</w:t>
      </w:r>
      <w:r w:rsidR="000D1D47">
        <w:t>и полосами общей шириной 0,08-0,1м</w:t>
      </w:r>
      <w:r w:rsidRPr="00A66955">
        <w:t xml:space="preserve"> (в соответствии с п. 6.2.8 СП 59.13330.2020).</w:t>
      </w:r>
    </w:p>
    <w:p w:rsidR="00A66955" w:rsidRPr="00A66955" w:rsidRDefault="000D1D47" w:rsidP="00A66955">
      <w:pPr>
        <w:jc w:val="both"/>
      </w:pPr>
      <w:r>
        <w:t xml:space="preserve">- </w:t>
      </w:r>
      <w:r w:rsidR="00A66955" w:rsidRPr="00A66955">
        <w:t>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A66955" w:rsidRPr="00A66955" w:rsidRDefault="00A66955" w:rsidP="00A66955">
      <w:pPr>
        <w:jc w:val="both"/>
      </w:pPr>
      <w:r w:rsidRPr="00A66955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66955" w:rsidRPr="00A66955" w:rsidRDefault="00A66955" w:rsidP="00A66955">
      <w:pPr>
        <w:jc w:val="both"/>
      </w:pPr>
      <w:r w:rsidRPr="00A66955"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 (в соответствии с п. 6.2.4 СП 59.13330.2020).</w:t>
      </w:r>
    </w:p>
    <w:p w:rsidR="00A66955" w:rsidRPr="00A66955" w:rsidRDefault="00A66955" w:rsidP="00A66955">
      <w:pPr>
        <w:jc w:val="both"/>
      </w:pPr>
      <w:r w:rsidRPr="00A66955">
        <w:t>- 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  <w:r w:rsidR="00B00771">
        <w:t>.</w:t>
      </w:r>
    </w:p>
    <w:p w:rsidR="00A66955" w:rsidRPr="00A66955" w:rsidRDefault="00A66955" w:rsidP="00A66955">
      <w:pPr>
        <w:jc w:val="both"/>
        <w:rPr>
          <w:b/>
        </w:rPr>
      </w:pPr>
      <w:r w:rsidRPr="00A66955">
        <w:rPr>
          <w:b/>
        </w:rPr>
        <w:t>Пути эвакуации</w:t>
      </w:r>
    </w:p>
    <w:p w:rsidR="00A66955" w:rsidRPr="00A66955" w:rsidRDefault="00A66955" w:rsidP="00A66955">
      <w:pPr>
        <w:jc w:val="both"/>
      </w:pPr>
      <w:r w:rsidRPr="00A66955">
        <w:t xml:space="preserve">В случае невозможности соблюдения положений ч.15 ст.89 </w:t>
      </w:r>
      <w:hyperlink r:id="rId12" w:history="1">
        <w:r w:rsidRPr="00A66955">
          <w:t>Федерального закона от 22.07.2008 N 123-ФЗ «Технический регламент о требованиях пожарной безопасности</w:t>
        </w:r>
      </w:hyperlink>
      <w:r w:rsidRPr="00A66955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A66955" w:rsidRPr="00A66955" w:rsidRDefault="00A66955" w:rsidP="00A66955">
      <w:pPr>
        <w:jc w:val="both"/>
      </w:pPr>
      <w:r w:rsidRPr="00A66955">
        <w:t>Пути эвакуации помещений пункта (пунктов) приема должны обеспечивать безопасность посетителей в соответствии с п.6.2.19-п.6.2.32 СП 59.13330.2020</w:t>
      </w:r>
      <w:r w:rsidR="000D1D47">
        <w:t>.</w:t>
      </w:r>
    </w:p>
    <w:p w:rsidR="00A66955" w:rsidRPr="00A66955" w:rsidRDefault="00A66955" w:rsidP="00A66955">
      <w:pPr>
        <w:jc w:val="both"/>
      </w:pPr>
      <w:r w:rsidRPr="00A66955">
        <w:t>Обеспечить систему двухсторонней связи с диспетчером или дежурным (в соответствии с п. 6.5.8 СП 59.13330.2020).</w:t>
      </w:r>
    </w:p>
    <w:p w:rsidR="00A66955" w:rsidRPr="00A66955" w:rsidRDefault="00A66955" w:rsidP="00A66955">
      <w:pPr>
        <w:jc w:val="both"/>
      </w:pPr>
      <w:r w:rsidRPr="00A66955">
        <w:t>4.2.2 На территории пункта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 (с Поправкой, с Изменениями N 1, 2, 3), со свободным доступом Получателей. Причем не менее 1 (одной) оборудованной для посещения инвалидами в соответствии с п. 6.3.3, 6.3.6, 6.3.9 СП 59.13330.2020.</w:t>
      </w:r>
    </w:p>
    <w:p w:rsidR="00A66955" w:rsidRPr="00A66955" w:rsidRDefault="00A66955" w:rsidP="00A66955">
      <w:pPr>
        <w:jc w:val="both"/>
      </w:pPr>
      <w:r w:rsidRPr="00A66955">
        <w:t xml:space="preserve">4.2.3 Пункт(ы) приема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66955" w:rsidRPr="00A66955" w:rsidRDefault="00A66955" w:rsidP="00A66955">
      <w:pPr>
        <w:jc w:val="both"/>
      </w:pPr>
      <w:r w:rsidRPr="00A66955">
        <w:t xml:space="preserve">4.2.4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A66955">
        <w:lastRenderedPageBreak/>
        <w:t xml:space="preserve">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66955" w:rsidRPr="00A66955" w:rsidRDefault="00A66955" w:rsidP="00A66955">
      <w:pPr>
        <w:jc w:val="both"/>
      </w:pPr>
      <w:r w:rsidRPr="00A66955">
        <w:t>4.2.5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66955" w:rsidRPr="00A66955" w:rsidRDefault="00A66955" w:rsidP="00A66955">
      <w:pPr>
        <w:jc w:val="both"/>
      </w:pPr>
      <w:r w:rsidRPr="00A66955">
        <w:t>4.2.6 Пункт (пункты) приема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66955" w:rsidRPr="00A66955" w:rsidRDefault="00A66955" w:rsidP="00A66955">
      <w:pPr>
        <w:jc w:val="both"/>
      </w:pPr>
      <w:r w:rsidRPr="00A66955">
        <w:t>- возможность беспрепятственного входа в объекты и выхода из них;</w:t>
      </w:r>
    </w:p>
    <w:p w:rsidR="00A66955" w:rsidRPr="00A66955" w:rsidRDefault="00A66955" w:rsidP="00A66955">
      <w:pPr>
        <w:jc w:val="both"/>
      </w:pPr>
      <w:r w:rsidRPr="00A66955"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66955" w:rsidRPr="00A66955" w:rsidRDefault="00A66955" w:rsidP="00A66955">
      <w:pPr>
        <w:jc w:val="both"/>
      </w:pPr>
      <w:r w:rsidRPr="00A66955"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66955" w:rsidRPr="00A66955" w:rsidRDefault="00A66955" w:rsidP="00A66955">
      <w:pPr>
        <w:jc w:val="both"/>
      </w:pPr>
      <w:r w:rsidRPr="00A66955"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66955" w:rsidRPr="00A66955" w:rsidRDefault="00A66955" w:rsidP="00A66955">
      <w:pPr>
        <w:jc w:val="both"/>
      </w:pPr>
      <w:r w:rsidRPr="00A66955"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66955" w:rsidRPr="00A66955" w:rsidRDefault="00A66955" w:rsidP="00A66955">
      <w:pPr>
        <w:jc w:val="both"/>
      </w:pPr>
      <w:r w:rsidRPr="00A66955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3" w:anchor="block_1000" w:history="1">
        <w:r w:rsidRPr="00A66955">
          <w:rPr>
            <w:color w:val="0563C1" w:themeColor="hyperlink"/>
            <w:u w:val="single"/>
          </w:rPr>
          <w:t>форме</w:t>
        </w:r>
      </w:hyperlink>
      <w:r w:rsidRPr="00A66955">
        <w:t xml:space="preserve"> и в </w:t>
      </w:r>
      <w:hyperlink r:id="rId14" w:anchor="block_2000" w:history="1">
        <w:r w:rsidRPr="00A66955">
          <w:rPr>
            <w:color w:val="0563C1" w:themeColor="hyperlink"/>
            <w:u w:val="single"/>
          </w:rPr>
          <w:t>порядке</w:t>
        </w:r>
      </w:hyperlink>
      <w:r w:rsidRPr="00A66955">
        <w:t xml:space="preserve">, утвержденных </w:t>
      </w:r>
      <w:hyperlink r:id="rId15" w:history="1">
        <w:r w:rsidRPr="00A66955">
          <w:rPr>
            <w:color w:val="0563C1" w:themeColor="hyperlink"/>
            <w:u w:val="single"/>
          </w:rPr>
          <w:t>приказом</w:t>
        </w:r>
      </w:hyperlink>
      <w:r w:rsidRPr="00A66955">
        <w:t xml:space="preserve"> Министерства труда и социальной защиты Российской Федерации от 22 июня 2015 г. N 386н (зарегистрирован Министерством юстиции Российской Федерации 21 июля 2015 г., регистрационный N 38115).</w:t>
      </w:r>
    </w:p>
    <w:p w:rsidR="00A66955" w:rsidRPr="00A66955" w:rsidRDefault="00A66955" w:rsidP="00A66955">
      <w:pPr>
        <w:jc w:val="both"/>
      </w:pPr>
      <w:r w:rsidRPr="00A66955">
        <w:t>4.3. Заказчик вправе предоставить Исполнителю без взимания платы помещение для организации пункта приема Получателей Изделий Получателям. Исполнитель обязан организовать выдачу Изделий в предложенном пункте приема Получателей.</w:t>
      </w:r>
    </w:p>
    <w:p w:rsidR="00A66955" w:rsidRPr="00A66955" w:rsidRDefault="00A66955" w:rsidP="00A66955">
      <w:pPr>
        <w:jc w:val="both"/>
      </w:pPr>
      <w:r w:rsidRPr="00A66955">
        <w:t>5. В случае выбора Получателем способа получения Изделий по месту нахождения пункта (пунктов) приема, передача Изделия Получателю осуществляется в день обращения Получателя в пункт(-ы) приема с направлением. На отрывном талоне направления Исполнитель в обязательном порядке проставляет дату обращения Получателя.</w:t>
      </w:r>
    </w:p>
    <w:p w:rsidR="00A66955" w:rsidRPr="00A66955" w:rsidRDefault="00A66955" w:rsidP="00A66955">
      <w:pPr>
        <w:jc w:val="both"/>
      </w:pPr>
      <w:r w:rsidRPr="00A66955">
        <w:t xml:space="preserve">5.1. Передача Изделий Получателям должна производиться в каждом из пунктов приема не менее 6 (шести) дней неделю, не менее 40 (сорока) часов в неделю, при этом, время работы должно быть в интервале с 08:00 до 22:00. </w:t>
      </w:r>
    </w:p>
    <w:p w:rsidR="00A66955" w:rsidRPr="00A66955" w:rsidRDefault="00A66955" w:rsidP="00A66955">
      <w:pPr>
        <w:jc w:val="both"/>
      </w:pPr>
      <w:r w:rsidRPr="00A66955">
        <w:t xml:space="preserve">5.2. В случае выбора Получателем способа получения Изделия путем передачи Изделия по месту нахождения Получателя, такая доставка осуществляется Исполнителем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не позднее 1 (одного) рабочего дня </w:t>
      </w:r>
      <w:r w:rsidR="006E6627">
        <w:t>с даты</w:t>
      </w:r>
      <w:r w:rsidRPr="00A66955">
        <w:t xml:space="preserve"> заключения </w:t>
      </w:r>
      <w:r>
        <w:t xml:space="preserve">государственного </w:t>
      </w:r>
      <w:r w:rsidRPr="00A66955">
        <w:t>контракта. Доставка осуществляется за счет средств Исполнителя.</w:t>
      </w:r>
    </w:p>
    <w:p w:rsidR="00A66955" w:rsidRPr="00A66955" w:rsidRDefault="00A66955" w:rsidP="00A66955">
      <w:pPr>
        <w:jc w:val="both"/>
      </w:pPr>
      <w:r w:rsidRPr="00A66955">
        <w:t>Исполнитель обязан информировать Заказчика о невозможности доставки Изделия Получателю не позднее рабочего дня, следующего за днем доставки, согласованным с Получателем.</w:t>
      </w:r>
    </w:p>
    <w:p w:rsidR="00A66955" w:rsidRPr="00A66955" w:rsidRDefault="00A66955" w:rsidP="00A66955">
      <w:pPr>
        <w:jc w:val="both"/>
      </w:pPr>
      <w:r w:rsidRPr="00A66955">
        <w:t>5.3. С целью подтверждения соответствия изделия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Изделий и соответствия пункта (пунктов) приема требованиям технического задания. При проведении проверки Заказчик вправе осуществлять фотофиксацию и/или видеозапись.</w:t>
      </w:r>
    </w:p>
    <w:p w:rsidR="00A66955" w:rsidRPr="00A66955" w:rsidRDefault="00A66955" w:rsidP="00A66955">
      <w:pPr>
        <w:jc w:val="both"/>
      </w:pPr>
      <w:r w:rsidRPr="00A66955">
        <w:lastRenderedPageBreak/>
        <w:t>5.4 В случая</w:t>
      </w:r>
      <w:r>
        <w:t>х отказа от изделия Получателя,</w:t>
      </w:r>
      <w:r w:rsidRPr="00A66955">
        <w:t xml:space="preserve"> Исполнитель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6" w:history="1">
        <w:r w:rsidRPr="00A66955">
          <w:rPr>
            <w:color w:val="0563C1" w:themeColor="hyperlink"/>
            <w:u w:val="single"/>
            <w:lang w:val="en-US"/>
          </w:rPr>
          <w:t>vred</w:t>
        </w:r>
        <w:r w:rsidRPr="00A66955">
          <w:rPr>
            <w:color w:val="0563C1" w:themeColor="hyperlink"/>
            <w:u w:val="single"/>
          </w:rPr>
          <w:t>@ro78.fss.ru</w:t>
        </w:r>
      </w:hyperlink>
    </w:p>
    <w:p w:rsidR="00A66955" w:rsidRPr="00A66955" w:rsidRDefault="00A66955" w:rsidP="004559A9">
      <w:pPr>
        <w:jc w:val="both"/>
        <w:rPr>
          <w:b/>
          <w:color w:val="000000"/>
        </w:rPr>
      </w:pPr>
      <w:r w:rsidRPr="00A66955">
        <w:t>6. При проведении эк</w:t>
      </w:r>
      <w:r>
        <w:t>спертизы Изделий</w:t>
      </w:r>
      <w:r w:rsidRPr="00A66955">
        <w:t xml:space="preserve"> на соответствие их условиям технического задания, Исполнитель должен предоставить необходимое для проведении</w:t>
      </w:r>
      <w:r w:rsidR="004559A9">
        <w:t xml:space="preserve"> экспертизы количество Изделий.</w:t>
      </w:r>
    </w:p>
    <w:sectPr w:rsidR="00A66955" w:rsidRPr="00A66955" w:rsidSect="00586D0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B8" w:rsidRDefault="00C75BB8" w:rsidP="00BF2610">
      <w:r>
        <w:separator/>
      </w:r>
    </w:p>
  </w:endnote>
  <w:endnote w:type="continuationSeparator" w:id="0">
    <w:p w:rsidR="00C75BB8" w:rsidRDefault="00C75BB8" w:rsidP="00BF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B8" w:rsidRDefault="00C75BB8" w:rsidP="00BF2610">
      <w:r>
        <w:separator/>
      </w:r>
    </w:p>
  </w:footnote>
  <w:footnote w:type="continuationSeparator" w:id="0">
    <w:p w:rsidR="00C75BB8" w:rsidRDefault="00C75BB8" w:rsidP="00BF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025"/>
    <w:multiLevelType w:val="multilevel"/>
    <w:tmpl w:val="D19C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71401"/>
    <w:multiLevelType w:val="hybridMultilevel"/>
    <w:tmpl w:val="7F509470"/>
    <w:lvl w:ilvl="0" w:tplc="BA421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96E78"/>
    <w:multiLevelType w:val="hybridMultilevel"/>
    <w:tmpl w:val="6EEE21CA"/>
    <w:lvl w:ilvl="0" w:tplc="1D688AF6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3EA7"/>
    <w:multiLevelType w:val="hybridMultilevel"/>
    <w:tmpl w:val="8BC47EC8"/>
    <w:lvl w:ilvl="0" w:tplc="515494EC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A3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B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4D8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6B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387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0B1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A5F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A0606E"/>
    <w:multiLevelType w:val="hybridMultilevel"/>
    <w:tmpl w:val="0D0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5B48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32566"/>
    <w:multiLevelType w:val="multilevel"/>
    <w:tmpl w:val="CC5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35ED2"/>
    <w:multiLevelType w:val="hybridMultilevel"/>
    <w:tmpl w:val="628027B2"/>
    <w:lvl w:ilvl="0" w:tplc="46E63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13D31"/>
    <w:multiLevelType w:val="multilevel"/>
    <w:tmpl w:val="7AA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B"/>
    <w:rsid w:val="000107E6"/>
    <w:rsid w:val="0001336D"/>
    <w:rsid w:val="00016732"/>
    <w:rsid w:val="00044BCE"/>
    <w:rsid w:val="00050DC7"/>
    <w:rsid w:val="0005157C"/>
    <w:rsid w:val="00056491"/>
    <w:rsid w:val="00056E9E"/>
    <w:rsid w:val="00067FC1"/>
    <w:rsid w:val="0007599F"/>
    <w:rsid w:val="000807A3"/>
    <w:rsid w:val="00082D95"/>
    <w:rsid w:val="00091FA9"/>
    <w:rsid w:val="000930C2"/>
    <w:rsid w:val="0009497A"/>
    <w:rsid w:val="00096119"/>
    <w:rsid w:val="00096CE4"/>
    <w:rsid w:val="000974EC"/>
    <w:rsid w:val="000A4DA8"/>
    <w:rsid w:val="000B1908"/>
    <w:rsid w:val="000B1C95"/>
    <w:rsid w:val="000C0F41"/>
    <w:rsid w:val="000C10D0"/>
    <w:rsid w:val="000C6E84"/>
    <w:rsid w:val="000D09F3"/>
    <w:rsid w:val="000D1D47"/>
    <w:rsid w:val="000D3639"/>
    <w:rsid w:val="000E1BFE"/>
    <w:rsid w:val="000E3D8E"/>
    <w:rsid w:val="000F45B4"/>
    <w:rsid w:val="000F4F8C"/>
    <w:rsid w:val="0010032A"/>
    <w:rsid w:val="00101AF4"/>
    <w:rsid w:val="00101D16"/>
    <w:rsid w:val="00102B35"/>
    <w:rsid w:val="0011174B"/>
    <w:rsid w:val="0012056D"/>
    <w:rsid w:val="001219EE"/>
    <w:rsid w:val="00124E7F"/>
    <w:rsid w:val="00124F08"/>
    <w:rsid w:val="00133F6E"/>
    <w:rsid w:val="001416B2"/>
    <w:rsid w:val="0014368F"/>
    <w:rsid w:val="00151E09"/>
    <w:rsid w:val="00161061"/>
    <w:rsid w:val="00162C55"/>
    <w:rsid w:val="001709BE"/>
    <w:rsid w:val="0017314A"/>
    <w:rsid w:val="00196D4D"/>
    <w:rsid w:val="00196E09"/>
    <w:rsid w:val="001A5498"/>
    <w:rsid w:val="001A6B3E"/>
    <w:rsid w:val="001B49D5"/>
    <w:rsid w:val="001B65D3"/>
    <w:rsid w:val="001C1CAD"/>
    <w:rsid w:val="001C49F0"/>
    <w:rsid w:val="001C6D97"/>
    <w:rsid w:val="001D0BCD"/>
    <w:rsid w:val="001D1181"/>
    <w:rsid w:val="001D6FB4"/>
    <w:rsid w:val="001E25F1"/>
    <w:rsid w:val="001F10C4"/>
    <w:rsid w:val="001F49A8"/>
    <w:rsid w:val="00201ECE"/>
    <w:rsid w:val="00212B66"/>
    <w:rsid w:val="00213699"/>
    <w:rsid w:val="002245C7"/>
    <w:rsid w:val="0022622E"/>
    <w:rsid w:val="00227713"/>
    <w:rsid w:val="00227AB9"/>
    <w:rsid w:val="002403E1"/>
    <w:rsid w:val="00246651"/>
    <w:rsid w:val="00252D8D"/>
    <w:rsid w:val="002551FC"/>
    <w:rsid w:val="002673C4"/>
    <w:rsid w:val="00272638"/>
    <w:rsid w:val="0027425A"/>
    <w:rsid w:val="0027521B"/>
    <w:rsid w:val="00276A11"/>
    <w:rsid w:val="00280371"/>
    <w:rsid w:val="00281857"/>
    <w:rsid w:val="00290C69"/>
    <w:rsid w:val="002A0859"/>
    <w:rsid w:val="002A1F81"/>
    <w:rsid w:val="002A5F4D"/>
    <w:rsid w:val="002B47A1"/>
    <w:rsid w:val="002B7F78"/>
    <w:rsid w:val="002E014D"/>
    <w:rsid w:val="002E0DF7"/>
    <w:rsid w:val="002E33E5"/>
    <w:rsid w:val="002F175A"/>
    <w:rsid w:val="0030102E"/>
    <w:rsid w:val="00305AFA"/>
    <w:rsid w:val="00305D10"/>
    <w:rsid w:val="00310E2C"/>
    <w:rsid w:val="00321910"/>
    <w:rsid w:val="0033249D"/>
    <w:rsid w:val="00332DD3"/>
    <w:rsid w:val="00333644"/>
    <w:rsid w:val="0035196E"/>
    <w:rsid w:val="00352EF4"/>
    <w:rsid w:val="00356C4B"/>
    <w:rsid w:val="0036081B"/>
    <w:rsid w:val="00361AB8"/>
    <w:rsid w:val="00363A60"/>
    <w:rsid w:val="003658A7"/>
    <w:rsid w:val="003672C5"/>
    <w:rsid w:val="0037236B"/>
    <w:rsid w:val="00372B00"/>
    <w:rsid w:val="003746E1"/>
    <w:rsid w:val="003773FB"/>
    <w:rsid w:val="00384974"/>
    <w:rsid w:val="00390FC8"/>
    <w:rsid w:val="0039310C"/>
    <w:rsid w:val="0039335A"/>
    <w:rsid w:val="003A1A5E"/>
    <w:rsid w:val="003A709C"/>
    <w:rsid w:val="003B2B16"/>
    <w:rsid w:val="003B5FC9"/>
    <w:rsid w:val="003C0B33"/>
    <w:rsid w:val="003C1CDA"/>
    <w:rsid w:val="003C27A6"/>
    <w:rsid w:val="003C3447"/>
    <w:rsid w:val="003D6420"/>
    <w:rsid w:val="003D67D2"/>
    <w:rsid w:val="003E2EBD"/>
    <w:rsid w:val="003E7456"/>
    <w:rsid w:val="0040536D"/>
    <w:rsid w:val="00417BB7"/>
    <w:rsid w:val="004243A2"/>
    <w:rsid w:val="004259B1"/>
    <w:rsid w:val="00442916"/>
    <w:rsid w:val="00446A9B"/>
    <w:rsid w:val="004522F5"/>
    <w:rsid w:val="00453581"/>
    <w:rsid w:val="004559A9"/>
    <w:rsid w:val="00457177"/>
    <w:rsid w:val="00461A49"/>
    <w:rsid w:val="0046469E"/>
    <w:rsid w:val="004734D6"/>
    <w:rsid w:val="00473C7F"/>
    <w:rsid w:val="004855B8"/>
    <w:rsid w:val="0049148F"/>
    <w:rsid w:val="0049389F"/>
    <w:rsid w:val="00495815"/>
    <w:rsid w:val="004A5319"/>
    <w:rsid w:val="004B1B1A"/>
    <w:rsid w:val="004B4BA6"/>
    <w:rsid w:val="004B7EE4"/>
    <w:rsid w:val="004C2151"/>
    <w:rsid w:val="004C36F0"/>
    <w:rsid w:val="004C43CF"/>
    <w:rsid w:val="004C5AA1"/>
    <w:rsid w:val="004D61E5"/>
    <w:rsid w:val="004D6672"/>
    <w:rsid w:val="004D73BE"/>
    <w:rsid w:val="004E3186"/>
    <w:rsid w:val="004E43F9"/>
    <w:rsid w:val="004E44B6"/>
    <w:rsid w:val="004E64F5"/>
    <w:rsid w:val="004F3098"/>
    <w:rsid w:val="004F74FA"/>
    <w:rsid w:val="00504A0D"/>
    <w:rsid w:val="005202D7"/>
    <w:rsid w:val="005214D5"/>
    <w:rsid w:val="00521D68"/>
    <w:rsid w:val="00532430"/>
    <w:rsid w:val="00542A7F"/>
    <w:rsid w:val="00543DC4"/>
    <w:rsid w:val="00545D0E"/>
    <w:rsid w:val="00546726"/>
    <w:rsid w:val="0057307C"/>
    <w:rsid w:val="00575E7C"/>
    <w:rsid w:val="00586D09"/>
    <w:rsid w:val="00586E4C"/>
    <w:rsid w:val="005910B8"/>
    <w:rsid w:val="005A0457"/>
    <w:rsid w:val="005A47D9"/>
    <w:rsid w:val="005B353D"/>
    <w:rsid w:val="005B460F"/>
    <w:rsid w:val="005C7812"/>
    <w:rsid w:val="005D1526"/>
    <w:rsid w:val="005D253F"/>
    <w:rsid w:val="005D4F16"/>
    <w:rsid w:val="005E02C9"/>
    <w:rsid w:val="005E5E82"/>
    <w:rsid w:val="005E7F5C"/>
    <w:rsid w:val="005F1452"/>
    <w:rsid w:val="005F2565"/>
    <w:rsid w:val="005F53B0"/>
    <w:rsid w:val="00600EEC"/>
    <w:rsid w:val="006015DA"/>
    <w:rsid w:val="00601A8A"/>
    <w:rsid w:val="0060500D"/>
    <w:rsid w:val="00606E97"/>
    <w:rsid w:val="00616133"/>
    <w:rsid w:val="006238E5"/>
    <w:rsid w:val="00631CAF"/>
    <w:rsid w:val="00634351"/>
    <w:rsid w:val="00653E8E"/>
    <w:rsid w:val="00656A92"/>
    <w:rsid w:val="00667B88"/>
    <w:rsid w:val="00670B81"/>
    <w:rsid w:val="00682B56"/>
    <w:rsid w:val="00684420"/>
    <w:rsid w:val="0068475C"/>
    <w:rsid w:val="00687D3F"/>
    <w:rsid w:val="006A1D39"/>
    <w:rsid w:val="006B27AF"/>
    <w:rsid w:val="006B6F1A"/>
    <w:rsid w:val="006C5DC2"/>
    <w:rsid w:val="006D0B98"/>
    <w:rsid w:val="006D6580"/>
    <w:rsid w:val="006D6A9B"/>
    <w:rsid w:val="006E0D61"/>
    <w:rsid w:val="006E3FDF"/>
    <w:rsid w:val="006E6627"/>
    <w:rsid w:val="006E7B34"/>
    <w:rsid w:val="006F1CF2"/>
    <w:rsid w:val="006F7BBA"/>
    <w:rsid w:val="00702C11"/>
    <w:rsid w:val="00706850"/>
    <w:rsid w:val="0070753E"/>
    <w:rsid w:val="0071563A"/>
    <w:rsid w:val="0071595A"/>
    <w:rsid w:val="00715A7F"/>
    <w:rsid w:val="00721B62"/>
    <w:rsid w:val="0072321E"/>
    <w:rsid w:val="00724470"/>
    <w:rsid w:val="00733A16"/>
    <w:rsid w:val="00735DE9"/>
    <w:rsid w:val="00745FCF"/>
    <w:rsid w:val="00751FCD"/>
    <w:rsid w:val="0075502F"/>
    <w:rsid w:val="0075507A"/>
    <w:rsid w:val="00755B15"/>
    <w:rsid w:val="00757488"/>
    <w:rsid w:val="00760315"/>
    <w:rsid w:val="00765FB5"/>
    <w:rsid w:val="00767E3F"/>
    <w:rsid w:val="00777211"/>
    <w:rsid w:val="00782575"/>
    <w:rsid w:val="0078312C"/>
    <w:rsid w:val="007A2C37"/>
    <w:rsid w:val="007B3D83"/>
    <w:rsid w:val="007B3E30"/>
    <w:rsid w:val="007B5977"/>
    <w:rsid w:val="007C0CC0"/>
    <w:rsid w:val="007D2A15"/>
    <w:rsid w:val="007E1B43"/>
    <w:rsid w:val="007E6202"/>
    <w:rsid w:val="007E6603"/>
    <w:rsid w:val="007F7369"/>
    <w:rsid w:val="007F779E"/>
    <w:rsid w:val="00804918"/>
    <w:rsid w:val="00805BAF"/>
    <w:rsid w:val="00813B56"/>
    <w:rsid w:val="00816782"/>
    <w:rsid w:val="00836884"/>
    <w:rsid w:val="00837DB7"/>
    <w:rsid w:val="008528B2"/>
    <w:rsid w:val="008535F1"/>
    <w:rsid w:val="008567EE"/>
    <w:rsid w:val="00866053"/>
    <w:rsid w:val="00870853"/>
    <w:rsid w:val="00871FBE"/>
    <w:rsid w:val="00876C31"/>
    <w:rsid w:val="0088075E"/>
    <w:rsid w:val="0089408A"/>
    <w:rsid w:val="008A4F52"/>
    <w:rsid w:val="008B2DC7"/>
    <w:rsid w:val="008B321E"/>
    <w:rsid w:val="008B37F6"/>
    <w:rsid w:val="008B5819"/>
    <w:rsid w:val="008C4CBD"/>
    <w:rsid w:val="008D1A0B"/>
    <w:rsid w:val="008D2D97"/>
    <w:rsid w:val="008D5AB7"/>
    <w:rsid w:val="008D6235"/>
    <w:rsid w:val="008D6C5E"/>
    <w:rsid w:val="008E7360"/>
    <w:rsid w:val="009068A7"/>
    <w:rsid w:val="009118FB"/>
    <w:rsid w:val="00915E8A"/>
    <w:rsid w:val="00921111"/>
    <w:rsid w:val="009264AA"/>
    <w:rsid w:val="00927D71"/>
    <w:rsid w:val="00930B54"/>
    <w:rsid w:val="00935DA8"/>
    <w:rsid w:val="0093790B"/>
    <w:rsid w:val="0094046F"/>
    <w:rsid w:val="00941222"/>
    <w:rsid w:val="00960757"/>
    <w:rsid w:val="0096468A"/>
    <w:rsid w:val="00964B1C"/>
    <w:rsid w:val="00964EA5"/>
    <w:rsid w:val="0096502F"/>
    <w:rsid w:val="00966F72"/>
    <w:rsid w:val="00972CB1"/>
    <w:rsid w:val="0097363D"/>
    <w:rsid w:val="00980272"/>
    <w:rsid w:val="009973C0"/>
    <w:rsid w:val="00997BCC"/>
    <w:rsid w:val="009A3D85"/>
    <w:rsid w:val="009A43A6"/>
    <w:rsid w:val="009A5BCD"/>
    <w:rsid w:val="009B32FE"/>
    <w:rsid w:val="009C5B44"/>
    <w:rsid w:val="009D57DE"/>
    <w:rsid w:val="009E09EE"/>
    <w:rsid w:val="009F1DB8"/>
    <w:rsid w:val="009F1F05"/>
    <w:rsid w:val="009F42BC"/>
    <w:rsid w:val="00A11B73"/>
    <w:rsid w:val="00A127C4"/>
    <w:rsid w:val="00A15524"/>
    <w:rsid w:val="00A22D45"/>
    <w:rsid w:val="00A2710B"/>
    <w:rsid w:val="00A3525C"/>
    <w:rsid w:val="00A426CF"/>
    <w:rsid w:val="00A44E04"/>
    <w:rsid w:val="00A4778A"/>
    <w:rsid w:val="00A54DC8"/>
    <w:rsid w:val="00A65BE7"/>
    <w:rsid w:val="00A66955"/>
    <w:rsid w:val="00A73D11"/>
    <w:rsid w:val="00A768D6"/>
    <w:rsid w:val="00A77286"/>
    <w:rsid w:val="00A86C99"/>
    <w:rsid w:val="00A871A7"/>
    <w:rsid w:val="00A92E67"/>
    <w:rsid w:val="00AA726A"/>
    <w:rsid w:val="00AB3CB5"/>
    <w:rsid w:val="00AB46A1"/>
    <w:rsid w:val="00AC6460"/>
    <w:rsid w:val="00AD2E96"/>
    <w:rsid w:val="00AD5426"/>
    <w:rsid w:val="00AE0525"/>
    <w:rsid w:val="00AE65CA"/>
    <w:rsid w:val="00AE7076"/>
    <w:rsid w:val="00AF277B"/>
    <w:rsid w:val="00AF58B0"/>
    <w:rsid w:val="00B00771"/>
    <w:rsid w:val="00B01A45"/>
    <w:rsid w:val="00B03D31"/>
    <w:rsid w:val="00B0710E"/>
    <w:rsid w:val="00B10C92"/>
    <w:rsid w:val="00B255B9"/>
    <w:rsid w:val="00B273FC"/>
    <w:rsid w:val="00B353DF"/>
    <w:rsid w:val="00B376CC"/>
    <w:rsid w:val="00B410A2"/>
    <w:rsid w:val="00B44E02"/>
    <w:rsid w:val="00B5240B"/>
    <w:rsid w:val="00B57C0B"/>
    <w:rsid w:val="00B62883"/>
    <w:rsid w:val="00B73C29"/>
    <w:rsid w:val="00B80B81"/>
    <w:rsid w:val="00B82CBD"/>
    <w:rsid w:val="00B8585C"/>
    <w:rsid w:val="00B861D5"/>
    <w:rsid w:val="00B87A30"/>
    <w:rsid w:val="00BB7ABF"/>
    <w:rsid w:val="00BC0DEC"/>
    <w:rsid w:val="00BC2B54"/>
    <w:rsid w:val="00BD4DEB"/>
    <w:rsid w:val="00BD662D"/>
    <w:rsid w:val="00BE702F"/>
    <w:rsid w:val="00BF2610"/>
    <w:rsid w:val="00BF3F96"/>
    <w:rsid w:val="00C01B6E"/>
    <w:rsid w:val="00C1280F"/>
    <w:rsid w:val="00C20D5E"/>
    <w:rsid w:val="00C22621"/>
    <w:rsid w:val="00C24A38"/>
    <w:rsid w:val="00C25427"/>
    <w:rsid w:val="00C25BEE"/>
    <w:rsid w:val="00C33224"/>
    <w:rsid w:val="00C34376"/>
    <w:rsid w:val="00C45E15"/>
    <w:rsid w:val="00C51AAE"/>
    <w:rsid w:val="00C52EF3"/>
    <w:rsid w:val="00C5412C"/>
    <w:rsid w:val="00C55992"/>
    <w:rsid w:val="00C56A49"/>
    <w:rsid w:val="00C6013C"/>
    <w:rsid w:val="00C61A68"/>
    <w:rsid w:val="00C6323A"/>
    <w:rsid w:val="00C66716"/>
    <w:rsid w:val="00C70436"/>
    <w:rsid w:val="00C708CC"/>
    <w:rsid w:val="00C7276D"/>
    <w:rsid w:val="00C758B6"/>
    <w:rsid w:val="00C75BB8"/>
    <w:rsid w:val="00C75C2E"/>
    <w:rsid w:val="00C97CA8"/>
    <w:rsid w:val="00CB5E7A"/>
    <w:rsid w:val="00CC78EA"/>
    <w:rsid w:val="00CD1FE0"/>
    <w:rsid w:val="00CD42D8"/>
    <w:rsid w:val="00CD4EA3"/>
    <w:rsid w:val="00CD7DA5"/>
    <w:rsid w:val="00CF2D00"/>
    <w:rsid w:val="00CF518C"/>
    <w:rsid w:val="00D02FB0"/>
    <w:rsid w:val="00D032C5"/>
    <w:rsid w:val="00D0400E"/>
    <w:rsid w:val="00D0575C"/>
    <w:rsid w:val="00D06CD6"/>
    <w:rsid w:val="00D07C53"/>
    <w:rsid w:val="00D167C8"/>
    <w:rsid w:val="00D22585"/>
    <w:rsid w:val="00D265D0"/>
    <w:rsid w:val="00D31551"/>
    <w:rsid w:val="00D3246B"/>
    <w:rsid w:val="00D34AE7"/>
    <w:rsid w:val="00D51EF1"/>
    <w:rsid w:val="00D53B4D"/>
    <w:rsid w:val="00D54383"/>
    <w:rsid w:val="00D65AAF"/>
    <w:rsid w:val="00D717A5"/>
    <w:rsid w:val="00D82322"/>
    <w:rsid w:val="00D8485F"/>
    <w:rsid w:val="00D90138"/>
    <w:rsid w:val="00D91933"/>
    <w:rsid w:val="00D95234"/>
    <w:rsid w:val="00D97377"/>
    <w:rsid w:val="00DA1F2D"/>
    <w:rsid w:val="00DA3EDB"/>
    <w:rsid w:val="00DB4839"/>
    <w:rsid w:val="00DB5D84"/>
    <w:rsid w:val="00DC24A0"/>
    <w:rsid w:val="00DC2EAC"/>
    <w:rsid w:val="00DC3EBD"/>
    <w:rsid w:val="00DE1FBF"/>
    <w:rsid w:val="00DF286A"/>
    <w:rsid w:val="00DF6B77"/>
    <w:rsid w:val="00E01B31"/>
    <w:rsid w:val="00E06046"/>
    <w:rsid w:val="00E063AA"/>
    <w:rsid w:val="00E1064C"/>
    <w:rsid w:val="00E11911"/>
    <w:rsid w:val="00E13D63"/>
    <w:rsid w:val="00E220C8"/>
    <w:rsid w:val="00E26B44"/>
    <w:rsid w:val="00E402D6"/>
    <w:rsid w:val="00E43829"/>
    <w:rsid w:val="00E45465"/>
    <w:rsid w:val="00E45605"/>
    <w:rsid w:val="00E468B2"/>
    <w:rsid w:val="00E4791E"/>
    <w:rsid w:val="00E71228"/>
    <w:rsid w:val="00E77535"/>
    <w:rsid w:val="00E840B0"/>
    <w:rsid w:val="00E84B26"/>
    <w:rsid w:val="00E91BCF"/>
    <w:rsid w:val="00E94ECC"/>
    <w:rsid w:val="00E96199"/>
    <w:rsid w:val="00E9686B"/>
    <w:rsid w:val="00EB0EB7"/>
    <w:rsid w:val="00EB2284"/>
    <w:rsid w:val="00EB5F2C"/>
    <w:rsid w:val="00EC1F6C"/>
    <w:rsid w:val="00EC2FF5"/>
    <w:rsid w:val="00EC7831"/>
    <w:rsid w:val="00ED1907"/>
    <w:rsid w:val="00ED1B3F"/>
    <w:rsid w:val="00ED4E56"/>
    <w:rsid w:val="00EE2D07"/>
    <w:rsid w:val="00EE3288"/>
    <w:rsid w:val="00EE442E"/>
    <w:rsid w:val="00EE4AE0"/>
    <w:rsid w:val="00EF43EA"/>
    <w:rsid w:val="00F052E1"/>
    <w:rsid w:val="00F23AA5"/>
    <w:rsid w:val="00F24C2D"/>
    <w:rsid w:val="00F307A3"/>
    <w:rsid w:val="00F31DF9"/>
    <w:rsid w:val="00F34626"/>
    <w:rsid w:val="00F366AE"/>
    <w:rsid w:val="00F44211"/>
    <w:rsid w:val="00F4674A"/>
    <w:rsid w:val="00F47428"/>
    <w:rsid w:val="00F50758"/>
    <w:rsid w:val="00F53A10"/>
    <w:rsid w:val="00F63F10"/>
    <w:rsid w:val="00F653B9"/>
    <w:rsid w:val="00F709E1"/>
    <w:rsid w:val="00F80C97"/>
    <w:rsid w:val="00F86C2C"/>
    <w:rsid w:val="00F87259"/>
    <w:rsid w:val="00FB0113"/>
    <w:rsid w:val="00FC0F91"/>
    <w:rsid w:val="00FC14BE"/>
    <w:rsid w:val="00FC472D"/>
    <w:rsid w:val="00FC69B3"/>
    <w:rsid w:val="00FC7C48"/>
    <w:rsid w:val="00FD0725"/>
    <w:rsid w:val="00FD1EBC"/>
    <w:rsid w:val="00FD7327"/>
    <w:rsid w:val="00FD741C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2C42-FD5A-40F4-AEE7-BB1F1C9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04A0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a3">
    <w:name w:val="Hyperlink"/>
    <w:uiPriority w:val="99"/>
    <w:rsid w:val="00504A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26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6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6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6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A54DC8"/>
    <w:pPr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F65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53B9"/>
    <w:rPr>
      <w:rFonts w:ascii="Courier New" w:eastAsia="Calibri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5DE9"/>
  </w:style>
  <w:style w:type="character" w:customStyle="1" w:styleId="14">
    <w:name w:val="Стиль 14 пт"/>
    <w:rsid w:val="00735DE9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735DE9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B47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7A1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AC64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"/>
    <w:link w:val="ae"/>
    <w:rsid w:val="0088075E"/>
    <w:pPr>
      <w:spacing w:before="100" w:after="119"/>
    </w:pPr>
    <w:rPr>
      <w:lang w:eastAsia="ar-SA"/>
    </w:rPr>
  </w:style>
  <w:style w:type="character" w:customStyle="1" w:styleId="ae">
    <w:name w:val="Обычный (веб) Знак"/>
    <w:aliases w:val="Обычный (Web)1 Знак"/>
    <w:link w:val="ad"/>
    <w:locked/>
    <w:rsid w:val="0088075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rsid w:val="0088075E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semiHidden/>
    <w:rsid w:val="00FD1EBC"/>
    <w:pPr>
      <w:ind w:firstLine="144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D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0"/>
    <w:uiPriority w:val="99"/>
    <w:rsid w:val="000807A3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uiPriority w:val="99"/>
    <w:semiHidden/>
    <w:rsid w:val="000807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f"/>
    <w:uiPriority w:val="99"/>
    <w:locked/>
    <w:rsid w:val="000807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d@ro78.fss.ru" TargetMode="External"/><Relationship Id="rId13" Type="http://schemas.openxmlformats.org/officeDocument/2006/relationships/hyperlink" Target="http://base.garant.ru/71145140/53f89421bbdaf741eb2d1ecc4ddb4c3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426205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red@ro78.f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4E1453F2A9489236CE6DF841D1CDC24476804C30D39E23C8100D706802D49E1C69A85FFDDF4D04DFE429F5REn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145140/" TargetMode="External"/><Relationship Id="rId10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ed@ro78.fss.ru" TargetMode="External"/><Relationship Id="rId14" Type="http://schemas.openxmlformats.org/officeDocument/2006/relationships/hyperlink" Target="http://base.garant.ru/711451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477F-67F3-4D93-AA63-6DF7119F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Лившиц Снежанна Анатольевна</dc:creator>
  <cp:keywords/>
  <dc:description/>
  <cp:lastModifiedBy>Иванова Наталья Александровна</cp:lastModifiedBy>
  <cp:revision>55</cp:revision>
  <cp:lastPrinted>2022-02-15T07:15:00Z</cp:lastPrinted>
  <dcterms:created xsi:type="dcterms:W3CDTF">2022-10-21T13:45:00Z</dcterms:created>
  <dcterms:modified xsi:type="dcterms:W3CDTF">2023-01-26T12:05:00Z</dcterms:modified>
</cp:coreProperties>
</file>