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Pr="00014490">
        <w:rPr>
          <w:rFonts w:ascii="Times New Roman" w:hAnsi="Times New Roman" w:cs="Times New Roman"/>
          <w:b/>
          <w:color w:val="000000"/>
        </w:rPr>
        <w:t>.</w:t>
      </w:r>
      <w:r w:rsidR="006D77A2">
        <w:rPr>
          <w:rFonts w:ascii="Times New Roman" w:hAnsi="Times New Roman" w:cs="Times New Roman"/>
          <w:b/>
          <w:color w:val="000000"/>
        </w:rPr>
        <w:t>4</w:t>
      </w:r>
      <w:r w:rsidR="000C2732">
        <w:rPr>
          <w:rFonts w:ascii="Times New Roman" w:hAnsi="Times New Roman" w:cs="Times New Roman"/>
          <w:b/>
          <w:color w:val="000000"/>
        </w:rPr>
        <w:t>0</w:t>
      </w:r>
      <w:r w:rsidR="00560707" w:rsidRPr="00014490">
        <w:rPr>
          <w:rFonts w:ascii="Times New Roman" w:hAnsi="Times New Roman" w:cs="Times New Roman"/>
          <w:b/>
          <w:color w:val="000000"/>
        </w:rPr>
        <w:t>-22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67503A" w:rsidRDefault="00F3471F" w:rsidP="0053069F">
      <w:pPr>
        <w:jc w:val="both"/>
        <w:rPr>
          <w:rFonts w:ascii="Times New Roman" w:hAnsi="Times New Roman"/>
        </w:rPr>
      </w:pPr>
      <w:r w:rsidRPr="00014490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07073C" w:rsidRPr="00834DB7">
        <w:rPr>
          <w:rFonts w:ascii="Times New Roman" w:hAnsi="Times New Roman"/>
          <w:bCs/>
        </w:rPr>
        <w:t>На выполнение работ по обеспечению в 202</w:t>
      </w:r>
      <w:r w:rsidR="00EF39A6">
        <w:rPr>
          <w:rFonts w:ascii="Times New Roman" w:hAnsi="Times New Roman"/>
          <w:bCs/>
        </w:rPr>
        <w:t>3</w:t>
      </w:r>
      <w:r w:rsidR="0007073C" w:rsidRPr="00834DB7">
        <w:rPr>
          <w:rFonts w:ascii="Times New Roman" w:hAnsi="Times New Roman"/>
          <w:bCs/>
        </w:rPr>
        <w:t xml:space="preserve"> году инвалида протезом </w:t>
      </w:r>
      <w:r w:rsidR="0007073C" w:rsidRPr="00834DB7">
        <w:rPr>
          <w:rStyle w:val="ng-binding"/>
          <w:rFonts w:ascii="Times New Roman" w:hAnsi="Times New Roman"/>
        </w:rPr>
        <w:t>бедра модульным с микропроцессорным управлением</w:t>
      </w:r>
    </w:p>
    <w:tbl>
      <w:tblPr>
        <w:tblW w:w="1089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1"/>
        <w:gridCol w:w="7938"/>
        <w:gridCol w:w="709"/>
      </w:tblGrid>
      <w:tr w:rsidR="00241666" w:rsidRPr="000A7266" w:rsidTr="00D2213D">
        <w:tc>
          <w:tcPr>
            <w:tcW w:w="2251" w:type="dxa"/>
            <w:shd w:val="clear" w:color="auto" w:fill="auto"/>
            <w:vAlign w:val="center"/>
          </w:tcPr>
          <w:p w:rsidR="00241666" w:rsidRPr="000A7266" w:rsidRDefault="00241666" w:rsidP="001B2ED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7266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41666" w:rsidRPr="000A7266" w:rsidRDefault="00241666" w:rsidP="001B2ED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7266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241666" w:rsidRPr="000A7266" w:rsidRDefault="00241666" w:rsidP="001B2ED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7266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241666" w:rsidRPr="000A7266" w:rsidRDefault="00241666" w:rsidP="001B2ED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7266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241666" w:rsidRPr="000A7266" w:rsidTr="00D2213D">
        <w:tc>
          <w:tcPr>
            <w:tcW w:w="2251" w:type="dxa"/>
            <w:shd w:val="clear" w:color="auto" w:fill="auto"/>
          </w:tcPr>
          <w:p w:rsidR="00241666" w:rsidRPr="000A7266" w:rsidRDefault="00241666" w:rsidP="000A7266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0A7266">
              <w:rPr>
                <w:rFonts w:ascii="Times New Roman" w:hAnsi="Times New Roman"/>
                <w:szCs w:val="20"/>
              </w:rPr>
              <w:t>Протез бедра модульный с микропроцессорным управлением</w:t>
            </w:r>
          </w:p>
          <w:p w:rsidR="00241666" w:rsidRPr="000A7266" w:rsidRDefault="00241666" w:rsidP="000A7266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1666" w:rsidRPr="000A7266" w:rsidRDefault="00241666" w:rsidP="0064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Протез бедра модульный </w:t>
            </w:r>
            <w:r w:rsidRPr="000A7266">
              <w:rPr>
                <w:rFonts w:ascii="Times New Roman" w:hAnsi="Times New Roman"/>
                <w:b/>
                <w:sz w:val="20"/>
                <w:szCs w:val="20"/>
              </w:rPr>
              <w:t>с микропроцессорным управлением</w:t>
            </w:r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Должна быть защитная косметическая облицовка модульная, должна состоять из 2-х элементов: специального корпуса, изготовленного из высокопрочного пластика и текстильной манжеты на стопу, для обеспечения плавного перехода от корпуса к стопе или функциональная косметика максимально приближенная к анатомической форме сохранной конечности с полимерным чулком. Приемная гильза должна быть индивидуальная, </w:t>
            </w:r>
            <w:proofErr w:type="spellStart"/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скеленированная</w:t>
            </w:r>
            <w:proofErr w:type="spellEnd"/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изготовленная по гипсовому слепку с культи пациента. Материал приемной гильзы должен быть карбон или слоистый пластик на основе </w:t>
            </w:r>
            <w:proofErr w:type="spellStart"/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ортокриловых</w:t>
            </w:r>
            <w:proofErr w:type="spellEnd"/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смол с применением вкладной гильзы, изготовленной из полимерного материала или без нее, в соответствии с индивидуальными особенностями пациента. Протез должен изготавливаться с применением полимерного (силиконового) чехла на культю бедра, в соответствии с учетом физиологических особенностей пациента. Коленный шарнир должен быть гидравлический одноосный с электронной системой управления, с карбоновой рамой, датчиком шарнирного момента, с функцией анатомической подстройки коленного шарнира под скорость и условия ходьбы пациента, с режимом, дающим пациенту возможность подниматься по лестнице и наклонной плоскости переменным шагом и с режимом полной фиксации под любым углом. </w:t>
            </w:r>
            <w:r w:rsidRPr="000A72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основании значений измерений, сделанных встроенной системой датчиков, микропроцессор должен управлять гидравлической системой, которая влияет на амортизационные характеристики изделия.</w:t>
            </w:r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72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Режим разряженной аккумуляторной батареи должен обеспечивать возможность надежной ходьбы в случае разрядки аккумулятора. Данные датчика должны обновляться и обрабатываться 100 раз за секунду. Благодаря этому характеристики изделия динамично и в реальном времени должны адаптироваться к текущей двигательной ситуации (фазы ходьбы). Технология беспроводной передачи данных должна быть </w:t>
            </w:r>
            <w:proofErr w:type="spellStart"/>
            <w:r w:rsidRPr="000A72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0A72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2.0, радиус действия должен быть </w:t>
            </w:r>
            <w:proofErr w:type="spellStart"/>
            <w:r w:rsidRPr="000A72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0A72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10м, количество циклов зарядки (циклов зарядки и разрядки), после которых аккумулятор сохраняет не менее 80 % от своей первоначальной емкости должно быть не менее 500; полная зарядка аккумулятора должна быть не менее 8 часов; продолжительность работы протеза с новым, полностью заряженным аккумулятором, при комнатной температуре должна быть не менее 5 дней при среднем уровне использования.</w:t>
            </w:r>
          </w:p>
          <w:p w:rsidR="00241666" w:rsidRPr="000A7266" w:rsidRDefault="00241666" w:rsidP="006420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Стопа должна быть с </w:t>
            </w:r>
            <w:r w:rsidRPr="000A7266">
              <w:rPr>
                <w:rFonts w:ascii="Times New Roman" w:hAnsi="Times New Roman"/>
                <w:sz w:val="20"/>
                <w:szCs w:val="20"/>
              </w:rPr>
              <w:t xml:space="preserve">пружинным элементом из карбона и управляющим кольцом, благодаря которому компенсируются неровности поверхности опоры при ходьбе и обеспечивается упругое </w:t>
            </w:r>
            <w:proofErr w:type="spellStart"/>
            <w:r w:rsidRPr="000A7266">
              <w:rPr>
                <w:rFonts w:ascii="Times New Roman" w:hAnsi="Times New Roman"/>
                <w:sz w:val="20"/>
                <w:szCs w:val="20"/>
              </w:rPr>
              <w:t>наступание</w:t>
            </w:r>
            <w:proofErr w:type="spellEnd"/>
            <w:r w:rsidRPr="000A7266">
              <w:rPr>
                <w:rFonts w:ascii="Times New Roman" w:hAnsi="Times New Roman"/>
                <w:sz w:val="20"/>
                <w:szCs w:val="20"/>
              </w:rPr>
              <w:t xml:space="preserve"> на пятку, должна позволять сохранять активность, начиная от медленной ходьбы и до занятия любительским спортом или </w:t>
            </w:r>
            <w:r w:rsidRPr="000A72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стопа должна быть из гибкого композиционного материала на основе карбонового волокна, объединенные в единую систему при помощи опорной пружины из высокопрочного полимера, с разделенной передней частью для более устойчивости при ходьбе при неровной поверхности и при быстрым направления движения, должна подходить для ежедневного пользования и для занятия непрофессиональным спортом. </w:t>
            </w:r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Регулировочно-соединительное устройство должно быть поворотное с возможностью поворота согнутой в колене искусственной голени относительно гильзы. Несущий модуль должен быть с торсионным устройством или без него, обеспечивающим вращательные движения между коленным модулем и стопой. Полуфабрикаты должны быть титановые, рассчитанные на нагрузку до 125 кг. Крепление протеза должно осуществляться с помощью механического замкового устройства для силиконового лайнера или при помощи </w:t>
            </w:r>
            <w:proofErr w:type="spellStart"/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0A72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несущей гильзы за счет мышечно-вакуумного крепления. В комплектацию протеза должно входить: протез – 1 шт.; чехлы махровые или нейлоновые на культю бедра – 4 шт.</w:t>
            </w:r>
          </w:p>
        </w:tc>
        <w:tc>
          <w:tcPr>
            <w:tcW w:w="709" w:type="dxa"/>
            <w:shd w:val="clear" w:color="auto" w:fill="auto"/>
          </w:tcPr>
          <w:p w:rsidR="00241666" w:rsidRPr="000A7266" w:rsidRDefault="00241666" w:rsidP="001B2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2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1666" w:rsidRPr="000A7266" w:rsidTr="00D2213D">
        <w:tc>
          <w:tcPr>
            <w:tcW w:w="2251" w:type="dxa"/>
            <w:shd w:val="clear" w:color="auto" w:fill="auto"/>
          </w:tcPr>
          <w:p w:rsidR="00241666" w:rsidRPr="000A7266" w:rsidRDefault="00241666" w:rsidP="001B2ED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7266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938" w:type="dxa"/>
            <w:shd w:val="clear" w:color="auto" w:fill="auto"/>
          </w:tcPr>
          <w:p w:rsidR="00241666" w:rsidRPr="000A7266" w:rsidRDefault="00241666" w:rsidP="001B2ED7">
            <w:pPr>
              <w:pStyle w:val="a5"/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666" w:rsidRPr="000A7266" w:rsidRDefault="00241666" w:rsidP="001B2ED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A7266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043BB2" w:rsidRDefault="00043BB2" w:rsidP="00510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:rsidR="00DC4BA7" w:rsidRPr="00186B21" w:rsidRDefault="00DC4BA7" w:rsidP="00DC4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186B21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DC4BA7" w:rsidRPr="00186B21" w:rsidRDefault="00DC4BA7" w:rsidP="00DC4BA7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86B21">
        <w:rPr>
          <w:rFonts w:ascii="Times New Roman" w:hAnsi="Times New Roman"/>
        </w:rPr>
        <w:t xml:space="preserve">Протезы должны соответствовать требованиям  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исследования",10993-5-2011 "Изделия медицинские. Оценка </w:t>
      </w:r>
      <w:r w:rsidRPr="00186B21">
        <w:rPr>
          <w:rFonts w:ascii="Times New Roman" w:hAnsi="Times New Roman"/>
        </w:rPr>
        <w:lastRenderedPageBreak/>
        <w:t xml:space="preserve">биологического действия медицинских изделий. Часть 5. Исследования на </w:t>
      </w:r>
      <w:proofErr w:type="spellStart"/>
      <w:r w:rsidRPr="00186B21">
        <w:rPr>
          <w:rFonts w:ascii="Times New Roman" w:hAnsi="Times New Roman"/>
        </w:rPr>
        <w:t>цитотоксичность</w:t>
      </w:r>
      <w:proofErr w:type="spellEnd"/>
      <w:r w:rsidRPr="00186B21">
        <w:rPr>
          <w:rFonts w:ascii="Times New Roman" w:hAnsi="Times New Roman"/>
        </w:rPr>
        <w:t xml:space="preserve">: методы </w:t>
      </w:r>
      <w:proofErr w:type="spellStart"/>
      <w:r w:rsidRPr="00186B21">
        <w:rPr>
          <w:rFonts w:ascii="Times New Roman" w:hAnsi="Times New Roman"/>
        </w:rPr>
        <w:t>in</w:t>
      </w:r>
      <w:proofErr w:type="spellEnd"/>
      <w:r w:rsidRPr="00186B21">
        <w:rPr>
          <w:rFonts w:ascii="Times New Roman" w:hAnsi="Times New Roman"/>
        </w:rPr>
        <w:t xml:space="preserve"> </w:t>
      </w:r>
      <w:proofErr w:type="spellStart"/>
      <w:r w:rsidRPr="00186B21">
        <w:rPr>
          <w:rFonts w:ascii="Times New Roman" w:hAnsi="Times New Roman"/>
        </w:rPr>
        <w:t>vitro</w:t>
      </w:r>
      <w:proofErr w:type="spellEnd"/>
      <w:r w:rsidRPr="00186B21">
        <w:rPr>
          <w:rFonts w:ascii="Times New Roman" w:hAnsi="Times New Roman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186B21">
        <w:rPr>
          <w:rFonts w:ascii="Times New Roman" w:hAnsi="Times New Roman"/>
        </w:rPr>
        <w:t>ортезы</w:t>
      </w:r>
      <w:proofErr w:type="spellEnd"/>
      <w:r w:rsidRPr="00186B21">
        <w:rPr>
          <w:rFonts w:ascii="Times New Roman" w:hAnsi="Times New Roman"/>
        </w:rPr>
        <w:t xml:space="preserve"> наружные. Требования и методы испытаний». </w:t>
      </w:r>
      <w:r w:rsidRPr="00186B21">
        <w:rPr>
          <w:rFonts w:ascii="Times New Roman" w:eastAsia="Calibri" w:hAnsi="Times New Roman"/>
        </w:rPr>
        <w:t xml:space="preserve">ГОСТ Р 51819-2017 «Протезирование и </w:t>
      </w:r>
      <w:proofErr w:type="spellStart"/>
      <w:r w:rsidRPr="00186B21">
        <w:rPr>
          <w:rFonts w:ascii="Times New Roman" w:eastAsia="Calibri" w:hAnsi="Times New Roman"/>
        </w:rPr>
        <w:t>ортезирование</w:t>
      </w:r>
      <w:proofErr w:type="spellEnd"/>
      <w:r w:rsidRPr="00186B21">
        <w:rPr>
          <w:rFonts w:ascii="Times New Roman" w:eastAsia="Calibri" w:hAnsi="Times New Roman"/>
        </w:rPr>
        <w:t xml:space="preserve"> верхних и нижних конечностей». ГОСТ Р 53870-2021 «Услуги по протезированию нижних конечностей. Состав, содержание и порядок предоставления услуг».</w:t>
      </w:r>
    </w:p>
    <w:p w:rsidR="00DC4BA7" w:rsidRPr="00186B21" w:rsidRDefault="00DC4BA7" w:rsidP="00DC4BA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должен: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т.п.;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неделю; 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86B21">
        <w:rPr>
          <w:rFonts w:ascii="Times New Roman" w:eastAsia="Times New Roman" w:hAnsi="Times New Roman"/>
          <w:kern w:val="0"/>
          <w:sz w:val="22"/>
          <w:szCs w:val="22"/>
        </w:rPr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186B21">
        <w:rPr>
          <w:rFonts w:ascii="Times New Roman" w:hAnsi="Times New Roman"/>
          <w:sz w:val="22"/>
          <w:szCs w:val="22"/>
          <w:lang w:eastAsia="en-US"/>
        </w:rPr>
        <w:t>Качество протезов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DC4BA7" w:rsidRPr="00186B21" w:rsidRDefault="00DC4BA7" w:rsidP="00DC4BA7">
      <w:pPr>
        <w:pStyle w:val="a7"/>
        <w:spacing w:after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C4BA7" w:rsidRDefault="00C70F49" w:rsidP="00DC4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F49">
        <w:rPr>
          <w:rFonts w:ascii="Times New Roman" w:hAnsi="Times New Roman"/>
          <w:color w:val="000000"/>
        </w:rPr>
        <w:t>Срок пользования</w:t>
      </w:r>
      <w:r>
        <w:rPr>
          <w:rFonts w:ascii="Times New Roman" w:hAnsi="Times New Roman"/>
          <w:b/>
          <w:color w:val="000000"/>
        </w:rPr>
        <w:t xml:space="preserve"> </w:t>
      </w:r>
      <w:r w:rsidR="00DC4BA7" w:rsidRPr="00186B21">
        <w:rPr>
          <w:rStyle w:val="ng-binding"/>
          <w:rFonts w:ascii="Times New Roman" w:hAnsi="Times New Roman"/>
        </w:rPr>
        <w:t>Протез</w:t>
      </w:r>
      <w:r>
        <w:rPr>
          <w:rStyle w:val="ng-binding"/>
          <w:rFonts w:ascii="Times New Roman" w:hAnsi="Times New Roman"/>
        </w:rPr>
        <w:t>ом</w:t>
      </w:r>
      <w:r w:rsidR="00DC4BA7" w:rsidRPr="00186B21">
        <w:rPr>
          <w:rStyle w:val="ng-binding"/>
          <w:rFonts w:ascii="Times New Roman" w:hAnsi="Times New Roman"/>
        </w:rPr>
        <w:t xml:space="preserve"> бедра модульны</w:t>
      </w:r>
      <w:r>
        <w:rPr>
          <w:rStyle w:val="ng-binding"/>
          <w:rFonts w:ascii="Times New Roman" w:hAnsi="Times New Roman"/>
        </w:rPr>
        <w:t>м</w:t>
      </w:r>
      <w:r w:rsidR="00DC4BA7" w:rsidRPr="00186B21">
        <w:rPr>
          <w:rStyle w:val="ng-binding"/>
          <w:rFonts w:ascii="Times New Roman" w:hAnsi="Times New Roman"/>
        </w:rPr>
        <w:t xml:space="preserve"> с микропроцессорным управлением</w:t>
      </w:r>
      <w:r w:rsidR="00DC4BA7" w:rsidRPr="00186B21">
        <w:rPr>
          <w:rFonts w:ascii="Times New Roman" w:hAnsi="Times New Roman"/>
        </w:rPr>
        <w:t xml:space="preserve"> не менее 2 лет </w:t>
      </w:r>
      <w:r w:rsidR="00DC4BA7" w:rsidRPr="00186B21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DC4BA7" w:rsidRPr="00186B21" w:rsidRDefault="00DC4BA7" w:rsidP="00DC4B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86B21">
        <w:rPr>
          <w:rFonts w:ascii="Times New Roman" w:hAnsi="Times New Roman"/>
          <w:color w:val="000000"/>
        </w:rPr>
        <w:t>Срок гарантии не менее 12 месяцев</w:t>
      </w:r>
      <w:r w:rsidRPr="00186B21">
        <w:rPr>
          <w:rFonts w:ascii="Times New Roman" w:hAnsi="Times New Roman"/>
        </w:rPr>
        <w:t>.</w:t>
      </w:r>
    </w:p>
    <w:p w:rsidR="00DC4BA7" w:rsidRPr="00186B21" w:rsidRDefault="00DC4BA7" w:rsidP="00DC4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DC4BA7" w:rsidRPr="00186B21" w:rsidRDefault="00DC4BA7" w:rsidP="00DC4BA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86B21">
        <w:rPr>
          <w:rFonts w:ascii="Times New Roman" w:hAnsi="Times New Roman"/>
          <w:color w:val="000000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  <w:r w:rsidRPr="00186B21">
        <w:rPr>
          <w:rFonts w:ascii="Times New Roman" w:hAnsi="Times New Roman"/>
          <w:b/>
          <w:color w:val="000000"/>
        </w:rPr>
        <w:t xml:space="preserve">  </w:t>
      </w:r>
      <w:r w:rsidRPr="00186B21">
        <w:rPr>
          <w:rFonts w:ascii="Times New Roman" w:hAnsi="Times New Roman"/>
          <w:b/>
        </w:rPr>
        <w:t xml:space="preserve"> </w:t>
      </w:r>
    </w:p>
    <w:p w:rsidR="00DC4BA7" w:rsidRPr="00186B21" w:rsidRDefault="00DC4BA7" w:rsidP="00DC4BA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80091" w:rsidRPr="00014490" w:rsidRDefault="00580091" w:rsidP="00DC4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sectPr w:rsidR="00580091" w:rsidRPr="00014490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2FA8"/>
    <w:rsid w:val="00014490"/>
    <w:rsid w:val="000166DE"/>
    <w:rsid w:val="00023722"/>
    <w:rsid w:val="00023762"/>
    <w:rsid w:val="00037692"/>
    <w:rsid w:val="00043BB2"/>
    <w:rsid w:val="00064930"/>
    <w:rsid w:val="0007073C"/>
    <w:rsid w:val="00072DDD"/>
    <w:rsid w:val="000A7266"/>
    <w:rsid w:val="000B3C25"/>
    <w:rsid w:val="000C2732"/>
    <w:rsid w:val="000E0A23"/>
    <w:rsid w:val="000F70F9"/>
    <w:rsid w:val="000F710C"/>
    <w:rsid w:val="00112B84"/>
    <w:rsid w:val="00127D1F"/>
    <w:rsid w:val="001B09BB"/>
    <w:rsid w:val="001D1DB1"/>
    <w:rsid w:val="001D5B4B"/>
    <w:rsid w:val="001F6CE5"/>
    <w:rsid w:val="0020390C"/>
    <w:rsid w:val="0020571D"/>
    <w:rsid w:val="0024017C"/>
    <w:rsid w:val="00241666"/>
    <w:rsid w:val="00244134"/>
    <w:rsid w:val="002630D1"/>
    <w:rsid w:val="00310983"/>
    <w:rsid w:val="00313B50"/>
    <w:rsid w:val="00314561"/>
    <w:rsid w:val="00327269"/>
    <w:rsid w:val="00353EFD"/>
    <w:rsid w:val="0038625C"/>
    <w:rsid w:val="003A0460"/>
    <w:rsid w:val="003A0E88"/>
    <w:rsid w:val="003D5100"/>
    <w:rsid w:val="00425026"/>
    <w:rsid w:val="00454F86"/>
    <w:rsid w:val="004657B4"/>
    <w:rsid w:val="004671D7"/>
    <w:rsid w:val="004A5AC2"/>
    <w:rsid w:val="004C10A3"/>
    <w:rsid w:val="004D699C"/>
    <w:rsid w:val="004E3926"/>
    <w:rsid w:val="0051052B"/>
    <w:rsid w:val="0053069F"/>
    <w:rsid w:val="00535CA9"/>
    <w:rsid w:val="00545620"/>
    <w:rsid w:val="00553773"/>
    <w:rsid w:val="00560707"/>
    <w:rsid w:val="00563EEB"/>
    <w:rsid w:val="0056456E"/>
    <w:rsid w:val="00580091"/>
    <w:rsid w:val="005D41DA"/>
    <w:rsid w:val="00605B2D"/>
    <w:rsid w:val="00607C79"/>
    <w:rsid w:val="00625DD0"/>
    <w:rsid w:val="00642012"/>
    <w:rsid w:val="00674087"/>
    <w:rsid w:val="0067503A"/>
    <w:rsid w:val="00682FD9"/>
    <w:rsid w:val="006861BC"/>
    <w:rsid w:val="006A7DF6"/>
    <w:rsid w:val="006B7B78"/>
    <w:rsid w:val="006C054E"/>
    <w:rsid w:val="006C2DA0"/>
    <w:rsid w:val="006C5539"/>
    <w:rsid w:val="006D1E38"/>
    <w:rsid w:val="006D77A2"/>
    <w:rsid w:val="006D79AE"/>
    <w:rsid w:val="0072319F"/>
    <w:rsid w:val="007307BC"/>
    <w:rsid w:val="00744139"/>
    <w:rsid w:val="0077400B"/>
    <w:rsid w:val="00774279"/>
    <w:rsid w:val="00775DC5"/>
    <w:rsid w:val="0077660C"/>
    <w:rsid w:val="00785CE7"/>
    <w:rsid w:val="00797866"/>
    <w:rsid w:val="007D0819"/>
    <w:rsid w:val="007E2059"/>
    <w:rsid w:val="0083218E"/>
    <w:rsid w:val="008A397F"/>
    <w:rsid w:val="008E2EF0"/>
    <w:rsid w:val="009042D6"/>
    <w:rsid w:val="00914896"/>
    <w:rsid w:val="009217F2"/>
    <w:rsid w:val="0093268D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51D10"/>
    <w:rsid w:val="00AA2BCA"/>
    <w:rsid w:val="00B022D4"/>
    <w:rsid w:val="00B031CE"/>
    <w:rsid w:val="00B276F7"/>
    <w:rsid w:val="00B4498D"/>
    <w:rsid w:val="00B63BC4"/>
    <w:rsid w:val="00B954C9"/>
    <w:rsid w:val="00BA1E19"/>
    <w:rsid w:val="00BB215B"/>
    <w:rsid w:val="00BB64FB"/>
    <w:rsid w:val="00BC716F"/>
    <w:rsid w:val="00BF0B1E"/>
    <w:rsid w:val="00C06E9A"/>
    <w:rsid w:val="00C13A8D"/>
    <w:rsid w:val="00C61C85"/>
    <w:rsid w:val="00C70F49"/>
    <w:rsid w:val="00C74B93"/>
    <w:rsid w:val="00CC3C2F"/>
    <w:rsid w:val="00CC4C76"/>
    <w:rsid w:val="00CF3B03"/>
    <w:rsid w:val="00CF4273"/>
    <w:rsid w:val="00D2213D"/>
    <w:rsid w:val="00D24FD5"/>
    <w:rsid w:val="00D82B9B"/>
    <w:rsid w:val="00D92759"/>
    <w:rsid w:val="00DA5C38"/>
    <w:rsid w:val="00DC394A"/>
    <w:rsid w:val="00DC4BA7"/>
    <w:rsid w:val="00DF3D91"/>
    <w:rsid w:val="00DF5A99"/>
    <w:rsid w:val="00E16241"/>
    <w:rsid w:val="00E313E0"/>
    <w:rsid w:val="00E80CD5"/>
    <w:rsid w:val="00EE17B5"/>
    <w:rsid w:val="00EF39A6"/>
    <w:rsid w:val="00F05A65"/>
    <w:rsid w:val="00F3471F"/>
    <w:rsid w:val="00F5305D"/>
    <w:rsid w:val="00FA5977"/>
    <w:rsid w:val="00FB4C07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</cp:revision>
  <cp:lastPrinted>2022-08-02T01:33:00Z</cp:lastPrinted>
  <dcterms:created xsi:type="dcterms:W3CDTF">2022-10-16T23:17:00Z</dcterms:created>
  <dcterms:modified xsi:type="dcterms:W3CDTF">2022-10-16T23:17:00Z</dcterms:modified>
</cp:coreProperties>
</file>