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41" w:rsidRPr="001E0A98" w:rsidRDefault="00B1440C" w:rsidP="00763F41">
      <w:pPr>
        <w:pStyle w:val="ConsPlusNormal"/>
        <w:suppressAutoHyphens w:val="0"/>
        <w:ind w:left="7938" w:firstLine="0"/>
        <w:rPr>
          <w:rFonts w:ascii="Times New Roman" w:hAnsi="Times New Roman" w:cs="Times New Roman"/>
          <w:sz w:val="24"/>
          <w:szCs w:val="24"/>
          <w:lang w:eastAsia="ar-SA"/>
        </w:rPr>
      </w:pPr>
      <w:r w:rsidRPr="001E0A98">
        <w:rPr>
          <w:rFonts w:ascii="Times New Roman" w:hAnsi="Times New Roman" w:cs="Times New Roman"/>
          <w:sz w:val="24"/>
          <w:szCs w:val="24"/>
          <w:lang w:eastAsia="ar-SA"/>
        </w:rPr>
        <w:t>Приложение № 1</w:t>
      </w:r>
    </w:p>
    <w:p w:rsidR="001D07DE" w:rsidRPr="001E0A98" w:rsidRDefault="00763F41" w:rsidP="00763F41">
      <w:pPr>
        <w:pStyle w:val="ConsPlusNormal"/>
        <w:suppressAutoHyphens w:val="0"/>
        <w:ind w:left="7938" w:firstLine="0"/>
        <w:rPr>
          <w:rFonts w:ascii="Times New Roman" w:hAnsi="Times New Roman" w:cs="Times New Roman"/>
          <w:sz w:val="24"/>
          <w:szCs w:val="24"/>
          <w:lang w:eastAsia="ar-SA"/>
        </w:rPr>
      </w:pPr>
      <w:r w:rsidRPr="001E0A98">
        <w:rPr>
          <w:rFonts w:ascii="Times New Roman" w:hAnsi="Times New Roman" w:cs="Times New Roman"/>
          <w:sz w:val="24"/>
          <w:szCs w:val="24"/>
          <w:lang w:eastAsia="ar-SA"/>
        </w:rPr>
        <w:t>к извещению</w:t>
      </w:r>
    </w:p>
    <w:p w:rsidR="006E0BEF" w:rsidRPr="001E0A98" w:rsidRDefault="00B1440C" w:rsidP="00773A7C">
      <w:pPr>
        <w:pStyle w:val="ConsPlusNormal"/>
        <w:suppressAutoHyphens w:val="0"/>
        <w:ind w:firstLine="0"/>
        <w:jc w:val="center"/>
        <w:rPr>
          <w:rFonts w:ascii="Times New Roman" w:hAnsi="Times New Roman" w:cs="Times New Roman"/>
          <w:b/>
          <w:sz w:val="24"/>
          <w:szCs w:val="24"/>
        </w:rPr>
      </w:pPr>
      <w:r w:rsidRPr="001E0A98">
        <w:rPr>
          <w:rFonts w:ascii="Times New Roman" w:hAnsi="Times New Roman" w:cs="Times New Roman"/>
          <w:b/>
          <w:sz w:val="24"/>
          <w:szCs w:val="24"/>
          <w:lang w:eastAsia="ar-SA"/>
        </w:rPr>
        <w:t>Описание объекта закупки</w:t>
      </w:r>
      <w:r w:rsidRPr="001E0A98">
        <w:rPr>
          <w:rFonts w:ascii="Times New Roman" w:hAnsi="Times New Roman" w:cs="Times New Roman"/>
          <w:b/>
          <w:sz w:val="24"/>
          <w:szCs w:val="24"/>
        </w:rPr>
        <w:t xml:space="preserve"> </w:t>
      </w:r>
    </w:p>
    <w:p w:rsidR="004C3CEC" w:rsidRPr="001E0A98" w:rsidRDefault="00E803FB" w:rsidP="004C3CEC">
      <w:pPr>
        <w:pStyle w:val="a5"/>
        <w:tabs>
          <w:tab w:val="left" w:pos="0"/>
        </w:tabs>
        <w:ind w:left="0"/>
      </w:pPr>
      <w:r w:rsidRPr="001E0A98">
        <w:t>Изготовление для застрахованного лица, получившего повреждение здоровья вследствие несчастного случая на производстве и профессионального заболевания, протеза предплечья с микропроцессорным управлением</w:t>
      </w:r>
      <w:r w:rsidR="00B131D6" w:rsidRPr="001E0A98">
        <w:t xml:space="preserve"> </w:t>
      </w:r>
    </w:p>
    <w:p w:rsidR="00B131D6" w:rsidRPr="001E0A98" w:rsidRDefault="00B131D6" w:rsidP="004C3CEC">
      <w:pPr>
        <w:pStyle w:val="a5"/>
        <w:tabs>
          <w:tab w:val="left" w:pos="0"/>
        </w:tabs>
        <w:ind w:left="0"/>
      </w:pPr>
    </w:p>
    <w:p w:rsidR="00E803FB" w:rsidRPr="001E0A98" w:rsidRDefault="00E803FB" w:rsidP="00E803FB">
      <w:pPr>
        <w:ind w:firstLine="567"/>
        <w:jc w:val="both"/>
      </w:pPr>
      <w:r w:rsidRPr="001E0A98">
        <w:t>Цена Контракта включает в себя все уплачиваемые и взымаемые на территории РФ налоги и пошлины, другие обязательные платежи, расходы, связанные с исполнением настоящего Контракта.</w:t>
      </w:r>
    </w:p>
    <w:p w:rsidR="00E803FB" w:rsidRPr="001E0A98" w:rsidRDefault="00E803FB" w:rsidP="00E803FB">
      <w:pPr>
        <w:ind w:firstLine="567"/>
        <w:jc w:val="both"/>
        <w:rPr>
          <w:sz w:val="26"/>
          <w:szCs w:val="26"/>
        </w:rPr>
      </w:pPr>
    </w:p>
    <w:tbl>
      <w:tblPr>
        <w:tblW w:w="4961" w:type="pct"/>
        <w:tblCellSpacing w:w="0"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77"/>
        <w:gridCol w:w="1768"/>
        <w:gridCol w:w="6474"/>
        <w:gridCol w:w="1135"/>
      </w:tblGrid>
      <w:tr w:rsidR="001E0A98" w:rsidRPr="001E0A98" w:rsidTr="00E803FB">
        <w:trPr>
          <w:tblCellSpacing w:w="0" w:type="dxa"/>
        </w:trPr>
        <w:tc>
          <w:tcPr>
            <w:tcW w:w="242" w:type="pct"/>
          </w:tcPr>
          <w:p w:rsidR="00E803FB" w:rsidRPr="001E0A98" w:rsidRDefault="00E803FB" w:rsidP="007B0839">
            <w:pPr>
              <w:spacing w:before="100" w:beforeAutospacing="1"/>
              <w:jc w:val="center"/>
              <w:rPr>
                <w:b/>
                <w:bCs/>
              </w:rPr>
            </w:pPr>
            <w:r w:rsidRPr="001E0A98">
              <w:rPr>
                <w:b/>
                <w:bCs/>
              </w:rPr>
              <w:t>№ п/п</w:t>
            </w:r>
          </w:p>
        </w:tc>
        <w:tc>
          <w:tcPr>
            <w:tcW w:w="897" w:type="pct"/>
            <w:tcMar>
              <w:top w:w="57" w:type="dxa"/>
              <w:left w:w="57" w:type="dxa"/>
              <w:bottom w:w="57" w:type="dxa"/>
              <w:right w:w="0" w:type="dxa"/>
            </w:tcMar>
            <w:hideMark/>
          </w:tcPr>
          <w:p w:rsidR="00E803FB" w:rsidRPr="001E0A98" w:rsidRDefault="00E803FB" w:rsidP="007B0839">
            <w:pPr>
              <w:keepNext/>
              <w:widowControl w:val="0"/>
              <w:jc w:val="center"/>
              <w:rPr>
                <w:b/>
                <w:bCs/>
              </w:rPr>
            </w:pPr>
            <w:r w:rsidRPr="001E0A98">
              <w:rPr>
                <w:b/>
                <w:bCs/>
              </w:rPr>
              <w:br w:type="page"/>
              <w:t>Наименование Изделий, Код ТСР</w:t>
            </w:r>
          </w:p>
        </w:tc>
        <w:tc>
          <w:tcPr>
            <w:tcW w:w="3285" w:type="pct"/>
            <w:tcMar>
              <w:top w:w="57" w:type="dxa"/>
              <w:left w:w="57" w:type="dxa"/>
              <w:bottom w:w="57" w:type="dxa"/>
              <w:right w:w="57" w:type="dxa"/>
            </w:tcMar>
            <w:hideMark/>
          </w:tcPr>
          <w:p w:rsidR="00E803FB" w:rsidRPr="001E0A98" w:rsidRDefault="00E803FB" w:rsidP="007B0839">
            <w:pPr>
              <w:jc w:val="center"/>
              <w:rPr>
                <w:b/>
                <w:bCs/>
              </w:rPr>
            </w:pPr>
            <w:r w:rsidRPr="001E0A98">
              <w:rPr>
                <w:b/>
                <w:bCs/>
              </w:rPr>
              <w:t>Описание функциональных и технических характеристик</w:t>
            </w:r>
          </w:p>
          <w:p w:rsidR="00E803FB" w:rsidRPr="001E0A98" w:rsidRDefault="00E803FB" w:rsidP="007B0839">
            <w:pPr>
              <w:pStyle w:val="2"/>
              <w:widowControl w:val="0"/>
              <w:tabs>
                <w:tab w:val="left" w:pos="6096"/>
              </w:tabs>
              <w:rPr>
                <w:rFonts w:ascii="Times New Roman" w:hAnsi="Times New Roman" w:cs="Times New Roman"/>
                <w:b/>
                <w:bCs/>
                <w:i/>
                <w:color w:val="auto"/>
                <w:sz w:val="24"/>
                <w:szCs w:val="24"/>
              </w:rPr>
            </w:pPr>
            <w:r w:rsidRPr="001E0A98">
              <w:rPr>
                <w:rFonts w:ascii="Times New Roman" w:hAnsi="Times New Roman" w:cs="Times New Roman"/>
                <w:b/>
                <w:bCs/>
                <w:i/>
                <w:color w:val="auto"/>
                <w:sz w:val="24"/>
                <w:szCs w:val="24"/>
              </w:rPr>
              <w:t>(в связи с отсутствием технических характеристик, указанных в КТРУ)</w:t>
            </w:r>
          </w:p>
        </w:tc>
        <w:tc>
          <w:tcPr>
            <w:tcW w:w="576" w:type="pct"/>
          </w:tcPr>
          <w:p w:rsidR="00E803FB" w:rsidRPr="001E0A98" w:rsidRDefault="00E803FB" w:rsidP="007B0839">
            <w:pPr>
              <w:jc w:val="center"/>
              <w:rPr>
                <w:b/>
              </w:rPr>
            </w:pPr>
            <w:r w:rsidRPr="001E0A98">
              <w:rPr>
                <w:b/>
              </w:rPr>
              <w:t>Количество, шт.</w:t>
            </w:r>
          </w:p>
        </w:tc>
      </w:tr>
      <w:tr w:rsidR="001E0A98" w:rsidRPr="001E0A98" w:rsidTr="00E803FB">
        <w:trPr>
          <w:trHeight w:val="776"/>
          <w:tblCellSpacing w:w="0" w:type="dxa"/>
        </w:trPr>
        <w:tc>
          <w:tcPr>
            <w:tcW w:w="242" w:type="pct"/>
            <w:tcBorders>
              <w:top w:val="nil"/>
              <w:right w:val="single" w:sz="6" w:space="0" w:color="000000"/>
            </w:tcBorders>
          </w:tcPr>
          <w:p w:rsidR="00E803FB" w:rsidRPr="001E0A98" w:rsidRDefault="00E803FB" w:rsidP="007B0839">
            <w:pPr>
              <w:spacing w:before="91"/>
            </w:pPr>
            <w:r w:rsidRPr="001E0A98">
              <w:t>1.</w:t>
            </w:r>
          </w:p>
        </w:tc>
        <w:tc>
          <w:tcPr>
            <w:tcW w:w="897" w:type="pct"/>
            <w:tcBorders>
              <w:top w:val="nil"/>
              <w:right w:val="single" w:sz="6" w:space="0" w:color="000000"/>
            </w:tcBorders>
            <w:tcMar>
              <w:top w:w="0" w:type="dxa"/>
              <w:left w:w="57" w:type="dxa"/>
              <w:bottom w:w="57" w:type="dxa"/>
              <w:right w:w="0" w:type="dxa"/>
            </w:tcMar>
          </w:tcPr>
          <w:p w:rsidR="00E803FB" w:rsidRPr="001E0A98" w:rsidRDefault="00E803FB" w:rsidP="007B0839">
            <w:pPr>
              <w:jc w:val="center"/>
            </w:pPr>
            <w:r w:rsidRPr="001E0A98">
              <w:t xml:space="preserve">Протез предплечья с микропроцессорным управлением </w:t>
            </w:r>
          </w:p>
          <w:p w:rsidR="00E803FB" w:rsidRPr="001E0A98" w:rsidRDefault="00E803FB" w:rsidP="007B0839">
            <w:pPr>
              <w:jc w:val="center"/>
              <w:rPr>
                <w:bCs/>
              </w:rPr>
            </w:pPr>
            <w:r w:rsidRPr="001E0A98">
              <w:rPr>
                <w:bCs/>
              </w:rPr>
              <w:t xml:space="preserve">8-04-02 </w:t>
            </w:r>
          </w:p>
          <w:p w:rsidR="00E803FB" w:rsidRPr="001E0A98" w:rsidRDefault="00E803FB" w:rsidP="007B0839">
            <w:pPr>
              <w:jc w:val="center"/>
              <w:rPr>
                <w:bCs/>
              </w:rPr>
            </w:pPr>
          </w:p>
        </w:tc>
        <w:tc>
          <w:tcPr>
            <w:tcW w:w="3285" w:type="pct"/>
            <w:tcBorders>
              <w:top w:val="nil"/>
              <w:left w:val="single" w:sz="6" w:space="0" w:color="000000"/>
            </w:tcBorders>
            <w:tcMar>
              <w:top w:w="0" w:type="dxa"/>
              <w:left w:w="57" w:type="dxa"/>
              <w:bottom w:w="57" w:type="dxa"/>
              <w:right w:w="57" w:type="dxa"/>
            </w:tcMar>
            <w:vAlign w:val="center"/>
          </w:tcPr>
          <w:p w:rsidR="00E803FB" w:rsidRPr="001E0A98" w:rsidRDefault="00E803FB" w:rsidP="007B0839">
            <w:pPr>
              <w:widowControl w:val="0"/>
              <w:snapToGrid w:val="0"/>
              <w:jc w:val="both"/>
            </w:pPr>
            <w:r w:rsidRPr="001E0A98">
              <w:t>Протез предплечья с микропроцессорным управлением предназначен для частичной компенсации врожденных и ампутационных дефектов предплечья, при сохранении подвижного локтевого сустава (в том числе при длинной культе, вычленении в лучезапястном суставе, наличии рудимента кисти). </w:t>
            </w:r>
          </w:p>
          <w:p w:rsidR="00E803FB" w:rsidRPr="001E0A98" w:rsidRDefault="00E803FB" w:rsidP="007B0839">
            <w:pPr>
              <w:widowControl w:val="0"/>
              <w:snapToGrid w:val="0"/>
              <w:jc w:val="both"/>
            </w:pPr>
            <w:r w:rsidRPr="001E0A98">
              <w:t xml:space="preserve">Протез должен состоять из двух основных частей: гильзы и модуля кисти. Гильза должна состоять из приемной и внешней (несущей). Внешняя гильза должна изготавливаться по модели предплечья методом вакуумной ламинации угле- и стекловолоконных композитных материалов на основе акриловых смол. Приёмная гильза должна изготавливаться из термолина по индивидуальному гипсовому слепку культи пользователя. Удержание протеза на культе должно осуществляться за счет специальных углублений на гильзе над локтевыми надмыщелками. </w:t>
            </w:r>
          </w:p>
          <w:p w:rsidR="00E803FB" w:rsidRPr="001E0A98" w:rsidRDefault="00E803FB" w:rsidP="007B0839">
            <w:pPr>
              <w:widowControl w:val="0"/>
              <w:snapToGrid w:val="0"/>
              <w:jc w:val="both"/>
            </w:pPr>
            <w:r w:rsidRPr="001E0A98">
              <w:t>Модуль кисти должен иметь 6 независимых степеней свободы - по одной на каждый палец и активную ротацию большого пальца. Протез должен запоминать не менее 8 различных жестов. Каждый жест должен настраиваться индивидуально по желанию получателя в момент протезирования или после, самим получателем. Переключение и настройка жестов должно осуществляться через мобильное приложение или командой от ЭМГ датчиков.</w:t>
            </w:r>
          </w:p>
          <w:p w:rsidR="00E803FB" w:rsidRPr="001E0A98" w:rsidRDefault="00E803FB" w:rsidP="007B0839">
            <w:pPr>
              <w:widowControl w:val="0"/>
              <w:snapToGrid w:val="0"/>
              <w:jc w:val="both"/>
            </w:pPr>
            <w:r w:rsidRPr="001E0A98">
              <w:t>Все пальцы должны быть оснащены электромеханическим управлением. Пальцы со 2-го по 5-ый должны иметь два подвижных взаимосвязанных сустава. Большой палец должен иметь один подвижный сустав. Система управления протезом должна обеспечивать позиционное управление каждого пальца - сгибание-разгибание. Ладонь и кончики пальцев должны быть оснащены противоскользящими силиконовыми накладками.</w:t>
            </w:r>
          </w:p>
          <w:p w:rsidR="00E803FB" w:rsidRPr="001E0A98" w:rsidRDefault="00E803FB" w:rsidP="007B0839">
            <w:pPr>
              <w:widowControl w:val="0"/>
              <w:snapToGrid w:val="0"/>
              <w:jc w:val="both"/>
            </w:pPr>
            <w:r w:rsidRPr="001E0A98">
              <w:t>Протез должен иметь пассивную ротацию кисти в запястье.</w:t>
            </w:r>
          </w:p>
          <w:p w:rsidR="00E803FB" w:rsidRPr="001E0A98" w:rsidRDefault="00E803FB" w:rsidP="007B0839">
            <w:pPr>
              <w:widowControl w:val="0"/>
              <w:snapToGrid w:val="0"/>
              <w:jc w:val="both"/>
            </w:pPr>
            <w:r w:rsidRPr="001E0A98">
              <w:t>Применение косметической внешней оболочки не предусмотрено.</w:t>
            </w:r>
          </w:p>
          <w:p w:rsidR="00E803FB" w:rsidRPr="001E0A98" w:rsidRDefault="00E803FB" w:rsidP="007B0839">
            <w:pPr>
              <w:widowControl w:val="0"/>
              <w:snapToGrid w:val="0"/>
              <w:jc w:val="both"/>
            </w:pPr>
            <w:r w:rsidRPr="001E0A98">
              <w:rPr>
                <w:b/>
                <w:bCs/>
              </w:rPr>
              <w:t>Внешний вид:</w:t>
            </w:r>
            <w:r w:rsidRPr="001E0A98">
              <w:rPr>
                <w:bCs/>
              </w:rPr>
              <w:t xml:space="preserve"> Должна быть предусмотрена в</w:t>
            </w:r>
            <w:r w:rsidRPr="001E0A98">
              <w:t xml:space="preserve">озможность </w:t>
            </w:r>
            <w:r w:rsidRPr="001E0A98">
              <w:lastRenderedPageBreak/>
              <w:t xml:space="preserve">создания различных по цвету вариантов корпуса кисти и культеприемной гильзы. </w:t>
            </w:r>
          </w:p>
          <w:p w:rsidR="00E803FB" w:rsidRPr="001E0A98" w:rsidRDefault="00E803FB" w:rsidP="007B0839">
            <w:pPr>
              <w:widowControl w:val="0"/>
              <w:snapToGrid w:val="0"/>
              <w:jc w:val="both"/>
            </w:pPr>
            <w:r w:rsidRPr="001E0A98">
              <w:rPr>
                <w:b/>
              </w:rPr>
              <w:t>Управление</w:t>
            </w:r>
            <w:r w:rsidRPr="001E0A98">
              <w:t xml:space="preserve"> протезом должно осуществляться за счет регистрации на поверхности кожи культи электромиографического сигнала посредством миодатчиков, зафиксированных во внутренней гильзе. Управление протезом должно быть одно/двухканальное. Максимальная нагрузка до 15 кг.</w:t>
            </w:r>
          </w:p>
          <w:p w:rsidR="00E803FB" w:rsidRPr="001E0A98" w:rsidRDefault="00E803FB" w:rsidP="007B0839">
            <w:pPr>
              <w:pStyle w:val="2"/>
              <w:tabs>
                <w:tab w:val="left" w:pos="6096"/>
              </w:tabs>
              <w:jc w:val="both"/>
              <w:rPr>
                <w:rFonts w:ascii="Times New Roman" w:hAnsi="Times New Roman" w:cs="Times New Roman"/>
                <w:bCs/>
                <w:i/>
                <w:color w:val="auto"/>
                <w:sz w:val="24"/>
                <w:szCs w:val="24"/>
              </w:rPr>
            </w:pPr>
            <w:r w:rsidRPr="001E0A98">
              <w:rPr>
                <w:rFonts w:ascii="Times New Roman" w:hAnsi="Times New Roman" w:cs="Times New Roman"/>
                <w:b/>
                <w:color w:val="auto"/>
                <w:sz w:val="24"/>
                <w:szCs w:val="24"/>
              </w:rPr>
              <w:t>Питание:</w:t>
            </w:r>
            <w:r w:rsidRPr="001E0A98">
              <w:rPr>
                <w:rFonts w:ascii="Times New Roman" w:hAnsi="Times New Roman" w:cs="Times New Roman"/>
                <w:color w:val="auto"/>
                <w:sz w:val="24"/>
                <w:szCs w:val="24"/>
              </w:rPr>
              <w:t xml:space="preserve"> В качестве источника энергии должен служить заряжаемый, несъемный литий-ионный аккумулятор с защитой от перезаряда. Зарядка с помощью стандартного разъема </w:t>
            </w:r>
            <w:r w:rsidRPr="001E0A98">
              <w:rPr>
                <w:rFonts w:ascii="Times New Roman" w:hAnsi="Times New Roman" w:cs="Times New Roman"/>
                <w:color w:val="auto"/>
                <w:sz w:val="24"/>
                <w:szCs w:val="24"/>
                <w:lang w:val="en-US"/>
              </w:rPr>
              <w:t>USB</w:t>
            </w:r>
            <w:r w:rsidRPr="001E0A98">
              <w:rPr>
                <w:rFonts w:ascii="Times New Roman" w:hAnsi="Times New Roman" w:cs="Times New Roman"/>
                <w:color w:val="auto"/>
                <w:sz w:val="24"/>
                <w:szCs w:val="24"/>
              </w:rPr>
              <w:t>-</w:t>
            </w:r>
            <w:r w:rsidRPr="001E0A98">
              <w:rPr>
                <w:rFonts w:ascii="Times New Roman" w:hAnsi="Times New Roman" w:cs="Times New Roman"/>
                <w:color w:val="auto"/>
                <w:sz w:val="24"/>
                <w:szCs w:val="24"/>
                <w:lang w:val="en-US"/>
              </w:rPr>
              <w:t>Type</w:t>
            </w:r>
            <w:r w:rsidRPr="001E0A98">
              <w:rPr>
                <w:rFonts w:ascii="Times New Roman" w:hAnsi="Times New Roman" w:cs="Times New Roman"/>
                <w:color w:val="auto"/>
                <w:sz w:val="24"/>
                <w:szCs w:val="24"/>
              </w:rPr>
              <w:t xml:space="preserve"> </w:t>
            </w:r>
            <w:r w:rsidRPr="001E0A98">
              <w:rPr>
                <w:rFonts w:ascii="Times New Roman" w:hAnsi="Times New Roman" w:cs="Times New Roman"/>
                <w:color w:val="auto"/>
                <w:sz w:val="24"/>
                <w:szCs w:val="24"/>
                <w:lang w:val="en-US"/>
              </w:rPr>
              <w:t>C</w:t>
            </w:r>
            <w:r w:rsidRPr="001E0A98">
              <w:rPr>
                <w:rFonts w:ascii="Times New Roman" w:hAnsi="Times New Roman" w:cs="Times New Roman"/>
                <w:color w:val="auto"/>
                <w:sz w:val="24"/>
                <w:szCs w:val="24"/>
              </w:rPr>
              <w:t>.</w:t>
            </w:r>
          </w:p>
          <w:p w:rsidR="00E803FB" w:rsidRPr="001E0A98" w:rsidRDefault="00E803FB" w:rsidP="007B0839">
            <w:pPr>
              <w:pStyle w:val="2"/>
              <w:tabs>
                <w:tab w:val="left" w:pos="6096"/>
              </w:tabs>
              <w:jc w:val="both"/>
              <w:rPr>
                <w:rFonts w:ascii="Times New Roman" w:hAnsi="Times New Roman" w:cs="Times New Roman"/>
                <w:bCs/>
                <w:i/>
                <w:color w:val="auto"/>
                <w:sz w:val="24"/>
                <w:szCs w:val="24"/>
              </w:rPr>
            </w:pPr>
            <w:r w:rsidRPr="001E0A98">
              <w:rPr>
                <w:rFonts w:ascii="Times New Roman" w:hAnsi="Times New Roman" w:cs="Times New Roman"/>
                <w:color w:val="auto"/>
                <w:sz w:val="24"/>
                <w:szCs w:val="24"/>
              </w:rPr>
              <w:t>Гарантийный срок – не менее 24 месяцев со дня подписания Акта приема-передачи изделия получателем. Код позиции КТРУ – отсутствует</w:t>
            </w:r>
            <w:r w:rsidRPr="001E0A98">
              <w:rPr>
                <w:rFonts w:ascii="Times New Roman" w:hAnsi="Times New Roman" w:cs="Times New Roman"/>
                <w:i/>
                <w:color w:val="auto"/>
                <w:sz w:val="24"/>
                <w:szCs w:val="24"/>
              </w:rPr>
              <w:t>.</w:t>
            </w:r>
          </w:p>
        </w:tc>
        <w:tc>
          <w:tcPr>
            <w:tcW w:w="576" w:type="pct"/>
          </w:tcPr>
          <w:p w:rsidR="00E803FB" w:rsidRPr="001E0A98" w:rsidRDefault="00E803FB" w:rsidP="007B0839">
            <w:pPr>
              <w:jc w:val="center"/>
            </w:pPr>
            <w:r w:rsidRPr="001E0A98">
              <w:lastRenderedPageBreak/>
              <w:t>1</w:t>
            </w:r>
          </w:p>
        </w:tc>
      </w:tr>
      <w:tr w:rsidR="001E0A98" w:rsidRPr="001E0A98" w:rsidTr="00E803FB">
        <w:trPr>
          <w:trHeight w:val="200"/>
          <w:tblCellSpacing w:w="0" w:type="dxa"/>
        </w:trPr>
        <w:tc>
          <w:tcPr>
            <w:tcW w:w="4424" w:type="pct"/>
            <w:gridSpan w:val="3"/>
            <w:tcBorders>
              <w:top w:val="nil"/>
            </w:tcBorders>
          </w:tcPr>
          <w:p w:rsidR="00E803FB" w:rsidRPr="001E0A98" w:rsidRDefault="00E803FB" w:rsidP="007B0839">
            <w:pPr>
              <w:ind w:right="-57"/>
              <w:jc w:val="right"/>
            </w:pPr>
            <w:r w:rsidRPr="001E0A98">
              <w:t>Итого:</w:t>
            </w:r>
          </w:p>
        </w:tc>
        <w:tc>
          <w:tcPr>
            <w:tcW w:w="576" w:type="pct"/>
          </w:tcPr>
          <w:p w:rsidR="00E803FB" w:rsidRPr="001E0A98" w:rsidRDefault="00E803FB" w:rsidP="007B0839">
            <w:pPr>
              <w:jc w:val="center"/>
            </w:pPr>
            <w:r w:rsidRPr="001E0A98">
              <w:t>1</w:t>
            </w:r>
          </w:p>
        </w:tc>
      </w:tr>
    </w:tbl>
    <w:p w:rsidR="00E803FB" w:rsidRPr="001E0A98" w:rsidRDefault="00E803FB" w:rsidP="00E803FB">
      <w:pPr>
        <w:rPr>
          <w:sz w:val="22"/>
          <w:szCs w:val="22"/>
        </w:rPr>
      </w:pPr>
    </w:p>
    <w:p w:rsidR="00E803FB" w:rsidRPr="001E0A98" w:rsidRDefault="00E803FB" w:rsidP="00E803FB">
      <w:pPr>
        <w:pStyle w:val="4"/>
        <w:widowControl w:val="0"/>
        <w:rPr>
          <w:rFonts w:ascii="Times New Roman" w:hAnsi="Times New Roman" w:cs="Times New Roman"/>
          <w:bCs/>
          <w:color w:val="auto"/>
          <w:u w:val="single"/>
        </w:rPr>
      </w:pPr>
      <w:r w:rsidRPr="001E0A98">
        <w:rPr>
          <w:rFonts w:ascii="Times New Roman" w:hAnsi="Times New Roman" w:cs="Times New Roman"/>
          <w:bCs/>
          <w:color w:val="auto"/>
          <w:u w:val="single"/>
        </w:rPr>
        <w:t>Требования к качеству изготовления изделий</w:t>
      </w:r>
    </w:p>
    <w:p w:rsidR="00E803FB" w:rsidRPr="001E0A98" w:rsidRDefault="00E803FB" w:rsidP="00E803FB">
      <w:pPr>
        <w:autoSpaceDE w:val="0"/>
        <w:autoSpaceDN w:val="0"/>
        <w:adjustRightInd w:val="0"/>
        <w:jc w:val="both"/>
      </w:pPr>
      <w:r w:rsidRPr="001E0A98">
        <w:t xml:space="preserve">     Протез предплечья с микропроцессорным управлением должен соответствовать требованиям </w:t>
      </w:r>
      <w:r w:rsidRPr="001E0A98">
        <w:rPr>
          <w:bCs/>
        </w:rPr>
        <w:t>ГОСТ</w:t>
      </w:r>
      <w:r w:rsidRPr="001E0A98">
        <w:t xml:space="preserve"> </w:t>
      </w:r>
      <w:r w:rsidRPr="001E0A98">
        <w:rPr>
          <w:bCs/>
        </w:rPr>
        <w:t>ISO</w:t>
      </w:r>
      <w:r w:rsidRPr="001E0A98">
        <w:t xml:space="preserve"> </w:t>
      </w:r>
      <w:r w:rsidRPr="001E0A98">
        <w:rPr>
          <w:bCs/>
        </w:rPr>
        <w:t>10993</w:t>
      </w:r>
      <w:r w:rsidRPr="001E0A98">
        <w:t>-</w:t>
      </w:r>
      <w:r w:rsidRPr="001E0A98">
        <w:rPr>
          <w:bCs/>
        </w:rPr>
        <w:t>1</w:t>
      </w:r>
      <w:r w:rsidRPr="001E0A98">
        <w:t>-</w:t>
      </w:r>
      <w:r w:rsidRPr="001E0A98">
        <w:rPr>
          <w:bCs/>
        </w:rPr>
        <w:t>2021</w:t>
      </w:r>
      <w:r w:rsidRPr="001E0A98">
        <w:t xml:space="preserve"> «</w:t>
      </w:r>
      <w:r w:rsidR="00BE5F2F" w:rsidRPr="001E0A98">
        <w:t>Межгосударственный стандарт. Изделия медицинские. Оценка биологического действия медицинских изделий. Часть 1. Оценка и исследования в процессе менеджмента риска</w:t>
      </w:r>
      <w:r w:rsidRPr="001E0A98">
        <w:t>»</w:t>
      </w:r>
      <w:r w:rsidRPr="001E0A98">
        <w:rPr>
          <w:shd w:val="clear" w:color="auto" w:fill="FFFFFF"/>
          <w:lang w:val="de-DE"/>
        </w:rPr>
        <w:t>,</w:t>
      </w:r>
      <w:r w:rsidRPr="001E0A98">
        <w:rPr>
          <w:b/>
        </w:rPr>
        <w:t xml:space="preserve"> </w:t>
      </w:r>
      <w:r w:rsidRPr="001E0A98">
        <w:t xml:space="preserve">ГОСТ </w:t>
      </w:r>
      <w:r w:rsidRPr="001E0A98">
        <w:rPr>
          <w:lang w:val="en-US"/>
        </w:rPr>
        <w:t>ISO</w:t>
      </w:r>
      <w:r w:rsidRPr="001E0A98">
        <w:t xml:space="preserve"> 10993-5-2011 «</w:t>
      </w:r>
      <w:r w:rsidR="00BE5F2F" w:rsidRPr="001E0A98">
        <w:rPr>
          <w:rFonts w:eastAsia="Calibri"/>
        </w:rPr>
        <w:t>Межгосударственный стандарт. Изделия медицинские. Оценка биологического действия медицинских изделий. Часть 5. Исследования на цитотоксичность: методы in vitro</w:t>
      </w:r>
      <w:r w:rsidRPr="001E0A98">
        <w:t>»,</w:t>
      </w:r>
      <w:r w:rsidRPr="001E0A98">
        <w:rPr>
          <w:b/>
        </w:rPr>
        <w:t xml:space="preserve"> </w:t>
      </w:r>
      <w:r w:rsidRPr="001E0A98">
        <w:t xml:space="preserve">ГОСТ </w:t>
      </w:r>
      <w:r w:rsidRPr="001E0A98">
        <w:rPr>
          <w:lang w:val="en-US"/>
        </w:rPr>
        <w:t>ISO</w:t>
      </w:r>
      <w:r w:rsidRPr="001E0A98">
        <w:t xml:space="preserve"> 10993-10-2011 «</w:t>
      </w:r>
      <w:r w:rsidR="00BE5F2F" w:rsidRPr="001E0A98">
        <w:rPr>
          <w:rFonts w:eastAsia="Calibri"/>
        </w:rPr>
        <w:t>Межгосударственный стандарт. Изделия медицинские. Оценка биологического действия медицинских изделий. Часть 10. Исследование раздражающего и сенсибилизирующего действия</w:t>
      </w:r>
      <w:r w:rsidRPr="001E0A98">
        <w:t xml:space="preserve">», ГОСТ </w:t>
      </w:r>
      <w:r w:rsidRPr="001E0A98">
        <w:rPr>
          <w:lang w:val="en-US"/>
        </w:rPr>
        <w:t>ISO</w:t>
      </w:r>
      <w:r w:rsidRPr="001E0A98">
        <w:t xml:space="preserve"> 10993-11-2021 «</w:t>
      </w:r>
      <w:r w:rsidR="00BE5F2F" w:rsidRPr="001E0A98">
        <w:rPr>
          <w:rFonts w:eastAsia="Calibri"/>
        </w:rPr>
        <w:t>Межгосударственный стандарт. Изделия медицинские. Оценка биологического действия медицинских изделий. Часть 11. Исследования общетоксического действия</w:t>
      </w:r>
      <w:r w:rsidRPr="001E0A98">
        <w:t>», ГОСТ Р 52770-2016 «</w:t>
      </w:r>
      <w:r w:rsidR="00BE5F2F" w:rsidRPr="001E0A98">
        <w:t>Национальный стандарт Российской Федерации. Изделия медицинские. Требования безопасности. Методы санитарно-химических и токсикологических испытаний</w:t>
      </w:r>
      <w:r w:rsidRPr="001E0A98">
        <w:t>»,</w:t>
      </w:r>
      <w:r w:rsidRPr="001E0A98">
        <w:rPr>
          <w:b/>
        </w:rPr>
        <w:t xml:space="preserve"> </w:t>
      </w:r>
      <w:r w:rsidRPr="001E0A98">
        <w:t xml:space="preserve">ГОСТ Р 51632-2021 </w:t>
      </w:r>
      <w:r w:rsidRPr="001E0A98">
        <w:rPr>
          <w:kern w:val="2"/>
        </w:rPr>
        <w:t>«</w:t>
      </w:r>
      <w:r w:rsidR="00BE5F2F" w:rsidRPr="001E0A98">
        <w:t>Национальный стандарт Российской Федерации. Технические средства реабилитации людей с ограничениями жизнедеятельности. Общие технические требования и методы испытаний</w:t>
      </w:r>
      <w:r w:rsidRPr="001E0A98">
        <w:rPr>
          <w:kern w:val="2"/>
        </w:rPr>
        <w:t xml:space="preserve">», </w:t>
      </w:r>
      <w:r w:rsidRPr="001E0A98">
        <w:t>ГОСТ Р ИСО 22523-2007 «</w:t>
      </w:r>
      <w:r w:rsidR="00BE5F2F" w:rsidRPr="001E0A98">
        <w:rPr>
          <w:kern w:val="3"/>
        </w:rPr>
        <w:t>Национальный стандарт Российской Федерации. Протезы конечностей и ортезы наружные. Требования и методы испытаний</w:t>
      </w:r>
      <w:r w:rsidRPr="001E0A98">
        <w:t xml:space="preserve">», </w:t>
      </w:r>
      <w:r w:rsidRPr="001E0A98">
        <w:rPr>
          <w:kern w:val="3"/>
        </w:rPr>
        <w:t>ГОСТ Р 51819-2022 «</w:t>
      </w:r>
      <w:r w:rsidR="00DC4328" w:rsidRPr="001E0A98">
        <w:rPr>
          <w:kern w:val="3"/>
        </w:rPr>
        <w:t>Национальный стандарт Российской Федерации. Протезирование и ортезирование верхних и нижних конечностей. Термины и определения</w:t>
      </w:r>
      <w:r w:rsidRPr="001E0A98">
        <w:rPr>
          <w:kern w:val="3"/>
        </w:rPr>
        <w:t>», ГОСТ Р ИСО 9999-2019 «</w:t>
      </w:r>
      <w:r w:rsidR="00DC4328" w:rsidRPr="001E0A98">
        <w:t>Национальный стандарт Российской Федерации. Вспомогательные средства для людей с ограничениями жизнедеятельности. Классификация и терминология</w:t>
      </w:r>
      <w:r w:rsidR="00DD5E2F" w:rsidRPr="001E0A98">
        <w:t>", ГОСТ Р 56138-2021 «Национальный стандарт Российской Федерации. Протезы верхних конечностей. Технические требования».</w:t>
      </w:r>
    </w:p>
    <w:p w:rsidR="00E803FB" w:rsidRPr="001E0A98" w:rsidRDefault="00E803FB" w:rsidP="00E803FB">
      <w:pPr>
        <w:autoSpaceDE w:val="0"/>
        <w:autoSpaceDN w:val="0"/>
        <w:adjustRightInd w:val="0"/>
        <w:jc w:val="both"/>
        <w:rPr>
          <w:u w:val="single"/>
        </w:rPr>
      </w:pPr>
      <w:r w:rsidRPr="001E0A98">
        <w:t xml:space="preserve">     </w:t>
      </w:r>
    </w:p>
    <w:p w:rsidR="00E803FB" w:rsidRPr="001E0A98" w:rsidRDefault="00E803FB" w:rsidP="00E803FB">
      <w:pPr>
        <w:pStyle w:val="text"/>
        <w:keepNext/>
        <w:widowControl w:val="0"/>
        <w:ind w:left="360" w:right="0" w:hanging="360"/>
        <w:rPr>
          <w:rFonts w:ascii="Times New Roman" w:hAnsi="Times New Roman" w:cs="Times New Roman"/>
          <w:bCs/>
          <w:sz w:val="24"/>
          <w:szCs w:val="24"/>
          <w:u w:val="single"/>
        </w:rPr>
      </w:pPr>
      <w:r w:rsidRPr="001E0A98">
        <w:rPr>
          <w:rFonts w:ascii="Times New Roman" w:hAnsi="Times New Roman" w:cs="Times New Roman"/>
          <w:sz w:val="24"/>
          <w:szCs w:val="24"/>
          <w:u w:val="single"/>
        </w:rPr>
        <w:t>Требования к техническим характеристикам</w:t>
      </w:r>
      <w:r w:rsidRPr="001E0A98">
        <w:rPr>
          <w:rFonts w:ascii="Times New Roman" w:hAnsi="Times New Roman" w:cs="Times New Roman"/>
          <w:bCs/>
          <w:sz w:val="24"/>
          <w:szCs w:val="24"/>
          <w:u w:val="single"/>
        </w:rPr>
        <w:t xml:space="preserve"> изготовления изделий</w:t>
      </w:r>
      <w:r w:rsidRPr="001E0A98">
        <w:rPr>
          <w:rFonts w:ascii="Times New Roman" w:hAnsi="Times New Roman" w:cs="Times New Roman"/>
          <w:sz w:val="24"/>
          <w:szCs w:val="24"/>
          <w:u w:val="single"/>
        </w:rPr>
        <w:t xml:space="preserve"> </w:t>
      </w:r>
    </w:p>
    <w:p w:rsidR="00E803FB" w:rsidRPr="001E0A98" w:rsidRDefault="00E803FB" w:rsidP="00E803FB">
      <w:pPr>
        <w:jc w:val="both"/>
        <w:rPr>
          <w:bCs/>
        </w:rPr>
      </w:pPr>
      <w:r w:rsidRPr="001E0A98">
        <w:rPr>
          <w:bCs/>
        </w:rPr>
        <w:t xml:space="preserve">      Выполняемые работы по изготовлению п</w:t>
      </w:r>
      <w:r w:rsidRPr="001E0A98">
        <w:t xml:space="preserve">ротеза предплечья с микропроцессорным управлением </w:t>
      </w:r>
      <w:r w:rsidRPr="001E0A98">
        <w:rPr>
          <w:bCs/>
        </w:rPr>
        <w:t>должны содержать комплекс медицинских, технических и социальных мероприятий, проводимых с пациентом, имеющим нарушения опорно-двигательного аппарата и (или) другие дефекты организма, в целях восстановления или компенсации ограничений его жизнедеятельности.</w:t>
      </w:r>
    </w:p>
    <w:p w:rsidR="00E803FB" w:rsidRPr="001E0A98" w:rsidRDefault="00E803FB" w:rsidP="00E803FB">
      <w:pPr>
        <w:jc w:val="both"/>
      </w:pPr>
      <w:r w:rsidRPr="001E0A98">
        <w:rPr>
          <w:bCs/>
        </w:rPr>
        <w:t xml:space="preserve">     Для проведения </w:t>
      </w:r>
      <w:r w:rsidRPr="001E0A98">
        <w:t>комплекса технических, медицинских, социальных мероприятий, а также комплекса мероприятий (замеры, подгонка, примерка и т. д.) по выполнению работ по изготовлению для застрахованного лица, получившего повреждение здоровья вследствие несчастного случая на производстве и профессионального заболевания (далее пострадавший),</w:t>
      </w:r>
      <w:r w:rsidRPr="001E0A98">
        <w:rPr>
          <w:bCs/>
        </w:rPr>
        <w:t xml:space="preserve"> п</w:t>
      </w:r>
      <w:r w:rsidRPr="001E0A98">
        <w:t>ротеза предплечья с микропроцессорным управлением</w:t>
      </w:r>
      <w:r w:rsidRPr="001E0A98">
        <w:rPr>
          <w:bCs/>
        </w:rPr>
        <w:t xml:space="preserve">, в части осмотра врача, снятия </w:t>
      </w:r>
      <w:r w:rsidRPr="001E0A98">
        <w:rPr>
          <w:bCs/>
        </w:rPr>
        <w:lastRenderedPageBreak/>
        <w:t xml:space="preserve">слепков, замера, подбора и выбора конструкции протезно-ортопедического изделия, у Исполнителя должна быть действующая </w:t>
      </w:r>
      <w:r w:rsidRPr="001E0A98">
        <w:t>лицензия на осуществление медицинской деятельности на выполнение работ (усл</w:t>
      </w:r>
      <w:bookmarkStart w:id="0" w:name="_GoBack"/>
      <w:bookmarkEnd w:id="0"/>
      <w:r w:rsidRPr="001E0A98">
        <w:t xml:space="preserve">уг) при оказании первичной специализированной медико-санитарной помощи в амбулаторных условиях по травматологии и ортопедии. </w:t>
      </w:r>
    </w:p>
    <w:p w:rsidR="00E803FB" w:rsidRPr="001E0A98" w:rsidRDefault="00E803FB" w:rsidP="00E803FB">
      <w:pPr>
        <w:widowControl w:val="0"/>
        <w:tabs>
          <w:tab w:val="left" w:pos="851"/>
        </w:tabs>
        <w:autoSpaceDE w:val="0"/>
        <w:autoSpaceDN w:val="0"/>
        <w:adjustRightInd w:val="0"/>
        <w:contextualSpacing/>
        <w:jc w:val="both"/>
      </w:pPr>
      <w:r w:rsidRPr="001E0A98">
        <w:t xml:space="preserve">      Работы по проведению комплекса медицинских, технических и организационных мероприятий, должны быть направлены на частичное восстановление опорно-двигательных функций, устранение косметических недостатков, восстановление и компенсацию утраченных функций организма и неустранимых анатомических дефектов. </w:t>
      </w:r>
    </w:p>
    <w:p w:rsidR="00E803FB" w:rsidRPr="001E0A98" w:rsidRDefault="00E803FB" w:rsidP="00E803FB">
      <w:pPr>
        <w:jc w:val="both"/>
      </w:pPr>
      <w:r w:rsidRPr="001E0A98">
        <w:t xml:space="preserve">     Приемные гильзы </w:t>
      </w:r>
      <w:r w:rsidRPr="001E0A98">
        <w:rPr>
          <w:bCs/>
        </w:rPr>
        <w:t>п</w:t>
      </w:r>
      <w:r w:rsidRPr="001E0A98">
        <w:t xml:space="preserve">ротеза предплечья с микропроцессорным управлением должны изготавливаться по индивидуальным параметрам пациента и предназначаться для размещения в них культи или пораженной конечности, обеспечивать взаимодействие человека с </w:t>
      </w:r>
      <w:r w:rsidRPr="001E0A98">
        <w:rPr>
          <w:bCs/>
        </w:rPr>
        <w:t>п</w:t>
      </w:r>
      <w:r w:rsidRPr="001E0A98">
        <w:t>ротезом предплечья с микропроцессорным управлением.</w:t>
      </w:r>
    </w:p>
    <w:p w:rsidR="00E803FB" w:rsidRPr="001E0A98" w:rsidRDefault="00E803FB" w:rsidP="00E803FB">
      <w:pPr>
        <w:jc w:val="both"/>
        <w:rPr>
          <w:u w:val="single"/>
        </w:rPr>
      </w:pPr>
    </w:p>
    <w:p w:rsidR="00E803FB" w:rsidRPr="001E0A98" w:rsidRDefault="00E803FB" w:rsidP="00E803FB">
      <w:pPr>
        <w:jc w:val="both"/>
        <w:rPr>
          <w:bCs/>
          <w:u w:val="single"/>
        </w:rPr>
      </w:pPr>
      <w:r w:rsidRPr="001E0A98">
        <w:rPr>
          <w:u w:val="single"/>
        </w:rPr>
        <w:t>Требования к безопасности</w:t>
      </w:r>
      <w:r w:rsidRPr="001E0A98">
        <w:rPr>
          <w:bCs/>
          <w:u w:val="single"/>
        </w:rPr>
        <w:t xml:space="preserve"> изготовления изделий</w:t>
      </w:r>
    </w:p>
    <w:p w:rsidR="00E803FB" w:rsidRPr="001E0A98" w:rsidRDefault="00E803FB" w:rsidP="00E803FB">
      <w:pPr>
        <w:jc w:val="both"/>
      </w:pPr>
      <w:r w:rsidRPr="001E0A98">
        <w:t xml:space="preserve">     Изготовление для застрахованного лица, получившего повреждение здоровья вследствие несчастного случая на производстве и профессионального заболевания,</w:t>
      </w:r>
      <w:r w:rsidRPr="001E0A98">
        <w:rPr>
          <w:bCs/>
        </w:rPr>
        <w:t xml:space="preserve"> п</w:t>
      </w:r>
      <w:r w:rsidRPr="001E0A98">
        <w:t xml:space="preserve">ротеза предплечья с микропроцессорным управлением, должно производиться из сырья и материалов, разрешенных к применению Федеральной службой в сфере защиты прав потребителей и благополучия человека. </w:t>
      </w:r>
    </w:p>
    <w:p w:rsidR="00E803FB" w:rsidRPr="001E0A98" w:rsidRDefault="00E803FB" w:rsidP="00E803FB">
      <w:pPr>
        <w:jc w:val="both"/>
      </w:pPr>
      <w:r w:rsidRPr="001E0A98">
        <w:t xml:space="preserve">    Материалы, из которых изготовлено протезно-ортопедическое изделие, должны быть экологически безопасны.</w:t>
      </w:r>
    </w:p>
    <w:p w:rsidR="00E803FB" w:rsidRPr="001E0A98" w:rsidRDefault="00E803FB" w:rsidP="00E803FB">
      <w:pPr>
        <w:jc w:val="both"/>
      </w:pPr>
      <w:r w:rsidRPr="001E0A98">
        <w:t xml:space="preserve">     Проведение работ по обеспечению получателя </w:t>
      </w:r>
      <w:r w:rsidRPr="001E0A98">
        <w:rPr>
          <w:bCs/>
        </w:rPr>
        <w:t>п</w:t>
      </w:r>
      <w:r w:rsidRPr="001E0A98">
        <w:t xml:space="preserve">ротезом предплечья с микропроцессорным управлением должно осуществляться </w:t>
      </w:r>
      <w:r w:rsidRPr="001E0A98">
        <w:rPr>
          <w:b/>
        </w:rPr>
        <w:t>при наличии</w:t>
      </w:r>
      <w:r w:rsidRPr="001E0A98">
        <w:t xml:space="preserve"> декларации о соответствии на изделия либо сертификата соответствия, в случае если на изготовляемые Изделия в соответствии с действующим законодательством Российской Федерации необходимо оформление указанных документов (при наличии).</w:t>
      </w:r>
    </w:p>
    <w:p w:rsidR="00E803FB" w:rsidRPr="001E0A98" w:rsidRDefault="00E803FB" w:rsidP="00E803FB">
      <w:pPr>
        <w:jc w:val="both"/>
        <w:rPr>
          <w:u w:val="single"/>
        </w:rPr>
      </w:pPr>
      <w:r w:rsidRPr="001E0A98">
        <w:rPr>
          <w:u w:val="single"/>
        </w:rPr>
        <w:t xml:space="preserve"> </w:t>
      </w:r>
    </w:p>
    <w:p w:rsidR="00E803FB" w:rsidRPr="001E0A98" w:rsidRDefault="00E803FB" w:rsidP="00E803FB">
      <w:pPr>
        <w:keepNext/>
        <w:widowControl w:val="0"/>
        <w:rPr>
          <w:bCs/>
          <w:u w:val="single"/>
        </w:rPr>
      </w:pPr>
      <w:r w:rsidRPr="001E0A98">
        <w:rPr>
          <w:u w:val="single"/>
        </w:rPr>
        <w:t xml:space="preserve">Требования к результатам </w:t>
      </w:r>
      <w:r w:rsidRPr="001E0A98">
        <w:rPr>
          <w:bCs/>
          <w:u w:val="single"/>
        </w:rPr>
        <w:t>изготовления изделий</w:t>
      </w:r>
    </w:p>
    <w:p w:rsidR="00E803FB" w:rsidRPr="001E0A98" w:rsidRDefault="00E803FB" w:rsidP="00E803FB">
      <w:pPr>
        <w:jc w:val="both"/>
      </w:pPr>
      <w:r w:rsidRPr="001E0A98">
        <w:t xml:space="preserve">     Работы по изготовлению для застрахованного лица, получившего повреждение здоровья вследствие несчастного случая на производстве и профессионального заболевания,</w:t>
      </w:r>
      <w:r w:rsidRPr="001E0A98">
        <w:rPr>
          <w:bCs/>
        </w:rPr>
        <w:t xml:space="preserve"> п</w:t>
      </w:r>
      <w:r w:rsidRPr="001E0A98">
        <w:t xml:space="preserve">ротеза предплечья с микропроцессорным управлением должны считаться эффективно исполненными, если у пострадавшего восстановлена опорная и двигательная функции конечности, устранены косметические и анатомические дефекты, созданы условия для предупреждения развития деформации или благоприятного течения болезни.            </w:t>
      </w:r>
    </w:p>
    <w:p w:rsidR="00E803FB" w:rsidRPr="001E0A98" w:rsidRDefault="00E803FB" w:rsidP="00E803FB">
      <w:pPr>
        <w:jc w:val="both"/>
      </w:pPr>
      <w:r w:rsidRPr="001E0A98">
        <w:t xml:space="preserve">     Работы по обеспечению пострадавшего </w:t>
      </w:r>
      <w:r w:rsidRPr="001E0A98">
        <w:rPr>
          <w:bCs/>
        </w:rPr>
        <w:t>п</w:t>
      </w:r>
      <w:r w:rsidRPr="001E0A98">
        <w:t>ротезом предплечья с микропроцессорным управлением должны выполняться с надлежащим качеством и в установленные сроки.</w:t>
      </w:r>
    </w:p>
    <w:p w:rsidR="00E803FB" w:rsidRPr="001E0A98" w:rsidRDefault="00E803FB" w:rsidP="00E803FB">
      <w:pPr>
        <w:jc w:val="both"/>
        <w:rPr>
          <w:u w:val="single"/>
        </w:rPr>
      </w:pPr>
    </w:p>
    <w:p w:rsidR="00E803FB" w:rsidRPr="001E0A98" w:rsidRDefault="00E803FB" w:rsidP="00E803FB">
      <w:pPr>
        <w:keepNext/>
        <w:widowControl w:val="0"/>
        <w:shd w:val="clear" w:color="auto" w:fill="FFFFFF"/>
        <w:tabs>
          <w:tab w:val="left" w:pos="0"/>
        </w:tabs>
        <w:autoSpaceDE w:val="0"/>
        <w:autoSpaceDN w:val="0"/>
        <w:adjustRightInd w:val="0"/>
        <w:rPr>
          <w:bCs/>
          <w:u w:val="single"/>
        </w:rPr>
      </w:pPr>
      <w:r w:rsidRPr="001E0A98">
        <w:rPr>
          <w:u w:val="single"/>
        </w:rPr>
        <w:t xml:space="preserve">Требования к сроку и (или) объему предоставления гарантий </w:t>
      </w:r>
    </w:p>
    <w:p w:rsidR="00E803FB" w:rsidRPr="001E0A98" w:rsidRDefault="00E803FB" w:rsidP="00E803FB">
      <w:pPr>
        <w:jc w:val="both"/>
      </w:pPr>
      <w:r w:rsidRPr="001E0A98">
        <w:t xml:space="preserve">   Гарантийный срок указан в таблице. В течение этого срока предприятие-изготовитель должно производить замену или ремонт изделия бесплатно.</w:t>
      </w:r>
    </w:p>
    <w:p w:rsidR="00E803FB" w:rsidRPr="001E0A98" w:rsidRDefault="00E803FB" w:rsidP="00E803FB">
      <w:pPr>
        <w:keepNext/>
        <w:widowControl w:val="0"/>
        <w:rPr>
          <w:bCs/>
          <w:u w:val="single"/>
        </w:rPr>
      </w:pPr>
      <w:r w:rsidRPr="001E0A98">
        <w:rPr>
          <w:kern w:val="1"/>
          <w:u w:val="single"/>
        </w:rPr>
        <w:t xml:space="preserve">Место, условия и сроки (периоды) </w:t>
      </w:r>
      <w:r w:rsidRPr="001E0A98">
        <w:rPr>
          <w:bCs/>
          <w:u w:val="single"/>
        </w:rPr>
        <w:t>изготовления</w:t>
      </w:r>
    </w:p>
    <w:p w:rsidR="00E803FB" w:rsidRPr="001E0A98" w:rsidRDefault="00E803FB" w:rsidP="00E803FB">
      <w:pPr>
        <w:widowControl w:val="0"/>
        <w:autoSpaceDE w:val="0"/>
        <w:autoSpaceDN w:val="0"/>
        <w:adjustRightInd w:val="0"/>
        <w:jc w:val="both"/>
        <w:rPr>
          <w:lang w:eastAsia="ar-SA"/>
        </w:rPr>
      </w:pPr>
      <w:r w:rsidRPr="001E0A98">
        <w:t xml:space="preserve">     Выполнение работ по изготовлению </w:t>
      </w:r>
      <w:r w:rsidRPr="001E0A98">
        <w:rPr>
          <w:bCs/>
        </w:rPr>
        <w:t>п</w:t>
      </w:r>
      <w:r w:rsidRPr="001E0A98">
        <w:t xml:space="preserve">ротеза предплечья с микропроцессорным управлением, связанных с проведением комплекса технических, медицинских, социальных мероприятий, а также </w:t>
      </w:r>
      <w:r w:rsidRPr="001E0A98">
        <w:rPr>
          <w:lang w:eastAsia="ar-SA"/>
        </w:rPr>
        <w:t>комплекса мероприятий (замеры, подгонка, примерка и т. д.), в которых необходимо участие Получателя, должно осуществляться по месту нахождения пункта приема.</w:t>
      </w:r>
    </w:p>
    <w:p w:rsidR="00E803FB" w:rsidRPr="001E0A98" w:rsidRDefault="00E803FB" w:rsidP="00E803FB">
      <w:pPr>
        <w:jc w:val="both"/>
      </w:pPr>
      <w:r w:rsidRPr="001E0A98">
        <w:t xml:space="preserve">     Место изготовления: по месту нахождения Исполнителя.</w:t>
      </w:r>
    </w:p>
    <w:p w:rsidR="00E803FB" w:rsidRPr="001E0A98" w:rsidRDefault="00E803FB" w:rsidP="00E803FB">
      <w:pPr>
        <w:jc w:val="both"/>
      </w:pPr>
      <w:r w:rsidRPr="001E0A98">
        <w:rPr>
          <w:spacing w:val="-1"/>
          <w:lang w:eastAsia="ar-SA"/>
        </w:rPr>
        <w:t xml:space="preserve">     Исполнитель обязан организовать пункт приема Получателя или его представителей для проведения </w:t>
      </w:r>
      <w:r w:rsidRPr="001E0A98">
        <w:t xml:space="preserve">комплекса технических, медицинских, социальных мероприятий, а также </w:t>
      </w:r>
      <w:r w:rsidRPr="001E0A98">
        <w:rPr>
          <w:spacing w:val="-1"/>
          <w:lang w:eastAsia="ar-SA"/>
        </w:rPr>
        <w:t xml:space="preserve">комплекса мероприятий (замеры, подгонка, примерка и т. д.), в которых необходимо участие Получателя, и выдачи результатов выполненных работ - изготовленного изделия Получателю и обеспечить его бесперебойную работу. </w:t>
      </w:r>
    </w:p>
    <w:p w:rsidR="00E803FB" w:rsidRPr="001E0A98" w:rsidRDefault="00E803FB" w:rsidP="00E803FB">
      <w:pPr>
        <w:jc w:val="both"/>
      </w:pPr>
      <w:r w:rsidRPr="001E0A98">
        <w:lastRenderedPageBreak/>
        <w:t xml:space="preserve">     Прием посетителей в пункте приема должен производиться не менее 5 (пяти) дней в неделю и не менее 40(сорока) часов в неделю. Пункт приема должен иметь туалетную комнату со свободным доступом туда Получателя.</w:t>
      </w:r>
    </w:p>
    <w:p w:rsidR="00E803FB" w:rsidRPr="001E0A98" w:rsidRDefault="00E803FB" w:rsidP="00E803FB">
      <w:pPr>
        <w:jc w:val="both"/>
      </w:pPr>
      <w:r w:rsidRPr="001E0A98">
        <w:t xml:space="preserve">     Продолжительность работ по изготовлению одного изделия – не более 33 рабочих дней с даты обращения Получателя с действующим направлением к Исполнителю.</w:t>
      </w:r>
    </w:p>
    <w:p w:rsidR="00E803FB" w:rsidRPr="001E0A98" w:rsidRDefault="00E803FB" w:rsidP="00E803FB">
      <w:pPr>
        <w:widowControl w:val="0"/>
        <w:autoSpaceDE w:val="0"/>
        <w:autoSpaceDN w:val="0"/>
        <w:adjustRightInd w:val="0"/>
        <w:jc w:val="both"/>
      </w:pPr>
      <w:r w:rsidRPr="001E0A98">
        <w:t xml:space="preserve">     Срок </w:t>
      </w:r>
      <w:r w:rsidRPr="001E0A98">
        <w:rPr>
          <w:bCs/>
        </w:rPr>
        <w:t>изготовления изделий</w:t>
      </w:r>
      <w:r w:rsidR="00014B9E" w:rsidRPr="001E0A98">
        <w:t xml:space="preserve">: </w:t>
      </w:r>
      <w:r w:rsidR="00D155FD" w:rsidRPr="001E0A98">
        <w:t>по 21</w:t>
      </w:r>
      <w:r w:rsidRPr="001E0A98">
        <w:t xml:space="preserve"> </w:t>
      </w:r>
      <w:r w:rsidR="00014B9E" w:rsidRPr="001E0A98">
        <w:t xml:space="preserve">ноября </w:t>
      </w:r>
      <w:r w:rsidRPr="001E0A98">
        <w:t>2023 года включительно.</w:t>
      </w:r>
    </w:p>
    <w:p w:rsidR="00E803FB" w:rsidRPr="001E0A98" w:rsidRDefault="00E803FB" w:rsidP="00E803FB">
      <w:pPr>
        <w:tabs>
          <w:tab w:val="left" w:pos="6096"/>
        </w:tabs>
        <w:rPr>
          <w:bCs/>
        </w:rPr>
      </w:pPr>
    </w:p>
    <w:p w:rsidR="00305187" w:rsidRPr="001E0A98" w:rsidRDefault="00E803FB" w:rsidP="00E803FB">
      <w:pPr>
        <w:tabs>
          <w:tab w:val="left" w:pos="6096"/>
        </w:tabs>
        <w:spacing w:line="276" w:lineRule="auto"/>
        <w:ind w:firstLine="284"/>
      </w:pPr>
      <w:r w:rsidRPr="001E0A98">
        <w:rPr>
          <w:bCs/>
        </w:rPr>
        <w:t>Ответственный за исполнение Государственного контракта Плахова О.В.</w:t>
      </w:r>
    </w:p>
    <w:p w:rsidR="00CD6C2C" w:rsidRPr="001E0A98" w:rsidRDefault="00CD6C2C" w:rsidP="00305187">
      <w:pPr>
        <w:tabs>
          <w:tab w:val="left" w:pos="6096"/>
        </w:tabs>
        <w:spacing w:line="276" w:lineRule="auto"/>
        <w:jc w:val="both"/>
        <w:rPr>
          <w:bCs/>
        </w:rPr>
      </w:pPr>
    </w:p>
    <w:p w:rsidR="00E803FB" w:rsidRPr="001E0A98" w:rsidRDefault="00E803FB" w:rsidP="00E803FB">
      <w:pPr>
        <w:tabs>
          <w:tab w:val="left" w:pos="6096"/>
        </w:tabs>
        <w:spacing w:line="276" w:lineRule="auto"/>
        <w:ind w:firstLine="709"/>
        <w:jc w:val="both"/>
      </w:pPr>
      <w:r w:rsidRPr="001E0A98">
        <w:t>ОКПД 2: 32.50.22.121;</w:t>
      </w:r>
    </w:p>
    <w:p w:rsidR="004C3CEC" w:rsidRPr="001E0A98" w:rsidRDefault="00E803FB" w:rsidP="00E803FB">
      <w:pPr>
        <w:tabs>
          <w:tab w:val="left" w:pos="6096"/>
        </w:tabs>
        <w:spacing w:line="276" w:lineRule="auto"/>
        <w:ind w:firstLine="709"/>
        <w:jc w:val="both"/>
      </w:pPr>
      <w:r w:rsidRPr="001E0A98">
        <w:t>КОЗ: 03.29.08.04.02;</w:t>
      </w:r>
    </w:p>
    <w:sectPr w:rsidR="004C3CEC" w:rsidRPr="001E0A98" w:rsidSect="00614822">
      <w:footerReference w:type="default" r:id="rId7"/>
      <w:pgSz w:w="11906" w:h="16838"/>
      <w:pgMar w:top="851"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1D6" w:rsidRDefault="00B131D6" w:rsidP="00524E7E">
      <w:r>
        <w:separator/>
      </w:r>
    </w:p>
  </w:endnote>
  <w:endnote w:type="continuationSeparator" w:id="0">
    <w:p w:rsidR="00B131D6" w:rsidRDefault="00B131D6" w:rsidP="0052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441280"/>
      <w:docPartObj>
        <w:docPartGallery w:val="Page Numbers (Bottom of Page)"/>
        <w:docPartUnique/>
      </w:docPartObj>
    </w:sdtPr>
    <w:sdtEndPr/>
    <w:sdtContent>
      <w:p w:rsidR="00B131D6" w:rsidRDefault="00B131D6" w:rsidP="00524E7E">
        <w:pPr>
          <w:pStyle w:val="ae"/>
          <w:jc w:val="center"/>
        </w:pPr>
        <w:r>
          <w:fldChar w:fldCharType="begin"/>
        </w:r>
        <w:r>
          <w:instrText>PAGE   \* MERGEFORMAT</w:instrText>
        </w:r>
        <w:r>
          <w:fldChar w:fldCharType="separate"/>
        </w:r>
        <w:r w:rsidR="001E0A9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1D6" w:rsidRDefault="00B131D6" w:rsidP="00524E7E">
      <w:r>
        <w:separator/>
      </w:r>
    </w:p>
  </w:footnote>
  <w:footnote w:type="continuationSeparator" w:id="0">
    <w:p w:rsidR="00B131D6" w:rsidRDefault="00B131D6" w:rsidP="0052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427C95"/>
    <w:multiLevelType w:val="multilevel"/>
    <w:tmpl w:val="42FC3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EF42AB"/>
    <w:multiLevelType w:val="multilevel"/>
    <w:tmpl w:val="A4A49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41"/>
    <w:rsid w:val="00014B9E"/>
    <w:rsid w:val="00043F12"/>
    <w:rsid w:val="0007640E"/>
    <w:rsid w:val="00083744"/>
    <w:rsid w:val="00087018"/>
    <w:rsid w:val="00091E1D"/>
    <w:rsid w:val="000A226F"/>
    <w:rsid w:val="000C3A0A"/>
    <w:rsid w:val="000C6708"/>
    <w:rsid w:val="000C7C0A"/>
    <w:rsid w:val="000E2D0B"/>
    <w:rsid w:val="000F429D"/>
    <w:rsid w:val="00115477"/>
    <w:rsid w:val="001205D3"/>
    <w:rsid w:val="001452B5"/>
    <w:rsid w:val="0014600E"/>
    <w:rsid w:val="00174D96"/>
    <w:rsid w:val="001B0006"/>
    <w:rsid w:val="001C7989"/>
    <w:rsid w:val="001D07DE"/>
    <w:rsid w:val="001D5EE8"/>
    <w:rsid w:val="001E0A98"/>
    <w:rsid w:val="001E7ACB"/>
    <w:rsid w:val="00206D8C"/>
    <w:rsid w:val="00216E88"/>
    <w:rsid w:val="002415D9"/>
    <w:rsid w:val="00266E86"/>
    <w:rsid w:val="00275B94"/>
    <w:rsid w:val="002B67FF"/>
    <w:rsid w:val="002C3C5B"/>
    <w:rsid w:val="00305175"/>
    <w:rsid w:val="00305187"/>
    <w:rsid w:val="0035100F"/>
    <w:rsid w:val="00380FBC"/>
    <w:rsid w:val="003B1D0C"/>
    <w:rsid w:val="003B734C"/>
    <w:rsid w:val="003C3480"/>
    <w:rsid w:val="00432F82"/>
    <w:rsid w:val="00484261"/>
    <w:rsid w:val="00487EB8"/>
    <w:rsid w:val="004A52D7"/>
    <w:rsid w:val="004C3CEC"/>
    <w:rsid w:val="004F7BEB"/>
    <w:rsid w:val="005152AC"/>
    <w:rsid w:val="00524E7E"/>
    <w:rsid w:val="005260DE"/>
    <w:rsid w:val="00526F64"/>
    <w:rsid w:val="00542E59"/>
    <w:rsid w:val="00562AE2"/>
    <w:rsid w:val="005914A2"/>
    <w:rsid w:val="00592569"/>
    <w:rsid w:val="005C5DA2"/>
    <w:rsid w:val="005D1987"/>
    <w:rsid w:val="005D3618"/>
    <w:rsid w:val="005D47B6"/>
    <w:rsid w:val="005D674B"/>
    <w:rsid w:val="00614822"/>
    <w:rsid w:val="00641034"/>
    <w:rsid w:val="00642BAF"/>
    <w:rsid w:val="00647DCD"/>
    <w:rsid w:val="00656FB7"/>
    <w:rsid w:val="00686084"/>
    <w:rsid w:val="006908F2"/>
    <w:rsid w:val="00692964"/>
    <w:rsid w:val="006B2605"/>
    <w:rsid w:val="006B3225"/>
    <w:rsid w:val="006E0BEF"/>
    <w:rsid w:val="00727719"/>
    <w:rsid w:val="00753263"/>
    <w:rsid w:val="00754A9D"/>
    <w:rsid w:val="00763577"/>
    <w:rsid w:val="00763F41"/>
    <w:rsid w:val="007725C2"/>
    <w:rsid w:val="00773A7C"/>
    <w:rsid w:val="007A0066"/>
    <w:rsid w:val="007D2D20"/>
    <w:rsid w:val="007F10BF"/>
    <w:rsid w:val="00800E0F"/>
    <w:rsid w:val="00817809"/>
    <w:rsid w:val="0082355E"/>
    <w:rsid w:val="00825983"/>
    <w:rsid w:val="00827D7B"/>
    <w:rsid w:val="00852110"/>
    <w:rsid w:val="008751D2"/>
    <w:rsid w:val="00875DC4"/>
    <w:rsid w:val="008835F6"/>
    <w:rsid w:val="008978D9"/>
    <w:rsid w:val="008B78CE"/>
    <w:rsid w:val="008C40C5"/>
    <w:rsid w:val="008D311E"/>
    <w:rsid w:val="008E36BD"/>
    <w:rsid w:val="00924791"/>
    <w:rsid w:val="00935708"/>
    <w:rsid w:val="0095043A"/>
    <w:rsid w:val="009752C2"/>
    <w:rsid w:val="009814EA"/>
    <w:rsid w:val="00985FD4"/>
    <w:rsid w:val="009B1A52"/>
    <w:rsid w:val="009B6502"/>
    <w:rsid w:val="009C39A6"/>
    <w:rsid w:val="009D3A9A"/>
    <w:rsid w:val="009D7A70"/>
    <w:rsid w:val="009E5E41"/>
    <w:rsid w:val="00A1026F"/>
    <w:rsid w:val="00A219A7"/>
    <w:rsid w:val="00A47ED1"/>
    <w:rsid w:val="00A63BDC"/>
    <w:rsid w:val="00A8015F"/>
    <w:rsid w:val="00A80A13"/>
    <w:rsid w:val="00A973D5"/>
    <w:rsid w:val="00AC5984"/>
    <w:rsid w:val="00AD7F11"/>
    <w:rsid w:val="00AF0D7D"/>
    <w:rsid w:val="00B07247"/>
    <w:rsid w:val="00B131D6"/>
    <w:rsid w:val="00B1440C"/>
    <w:rsid w:val="00B25D50"/>
    <w:rsid w:val="00BD2C95"/>
    <w:rsid w:val="00BE2719"/>
    <w:rsid w:val="00BE5F2F"/>
    <w:rsid w:val="00C00600"/>
    <w:rsid w:val="00C10FD5"/>
    <w:rsid w:val="00C33C69"/>
    <w:rsid w:val="00C513A3"/>
    <w:rsid w:val="00CA0FB2"/>
    <w:rsid w:val="00CA20DA"/>
    <w:rsid w:val="00CB166C"/>
    <w:rsid w:val="00CC5FBE"/>
    <w:rsid w:val="00CD53FB"/>
    <w:rsid w:val="00CD6C2C"/>
    <w:rsid w:val="00D155FD"/>
    <w:rsid w:val="00D203DD"/>
    <w:rsid w:val="00DB4E11"/>
    <w:rsid w:val="00DB6303"/>
    <w:rsid w:val="00DC4328"/>
    <w:rsid w:val="00DD5E2F"/>
    <w:rsid w:val="00DE624C"/>
    <w:rsid w:val="00E04D81"/>
    <w:rsid w:val="00E053D2"/>
    <w:rsid w:val="00E30A0C"/>
    <w:rsid w:val="00E331CF"/>
    <w:rsid w:val="00E55821"/>
    <w:rsid w:val="00E72BAB"/>
    <w:rsid w:val="00E803FB"/>
    <w:rsid w:val="00EA63E4"/>
    <w:rsid w:val="00EE2F2B"/>
    <w:rsid w:val="00EE5D7B"/>
    <w:rsid w:val="00F40E26"/>
    <w:rsid w:val="00F42606"/>
    <w:rsid w:val="00F50F0A"/>
    <w:rsid w:val="00F539D1"/>
    <w:rsid w:val="00F92674"/>
    <w:rsid w:val="00FB10B2"/>
    <w:rsid w:val="00FC2AD3"/>
    <w:rsid w:val="00FC30A8"/>
    <w:rsid w:val="00FD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4BA7C-611A-40AA-B86E-C93E3C6D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D0C"/>
    <w:pPr>
      <w:spacing w:after="0" w:line="240" w:lineRule="auto"/>
    </w:pPr>
    <w:rPr>
      <w:rFonts w:ascii="Times New Roman" w:hAnsi="Times New Roman" w:cs="Times New Roman"/>
      <w:sz w:val="24"/>
      <w:szCs w:val="24"/>
      <w:lang w:eastAsia="ru-RU"/>
    </w:rPr>
  </w:style>
  <w:style w:type="paragraph" w:styleId="2">
    <w:name w:val="heading 2"/>
    <w:basedOn w:val="a"/>
    <w:next w:val="a"/>
    <w:link w:val="20"/>
    <w:uiPriority w:val="9"/>
    <w:semiHidden/>
    <w:unhideWhenUsed/>
    <w:qFormat/>
    <w:rsid w:val="00EE5D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E0BEF"/>
    <w:pPr>
      <w:keepNext/>
      <w:numPr>
        <w:ilvl w:val="2"/>
        <w:numId w:val="1"/>
      </w:numPr>
      <w:suppressAutoHyphens/>
      <w:autoSpaceDE w:val="0"/>
      <w:jc w:val="center"/>
      <w:outlineLvl w:val="2"/>
    </w:pPr>
    <w:rPr>
      <w:rFonts w:eastAsia="Times New Roman"/>
      <w:b/>
      <w:bCs/>
      <w:sz w:val="28"/>
      <w:szCs w:val="20"/>
      <w:lang w:eastAsia="zh-CN"/>
    </w:rPr>
  </w:style>
  <w:style w:type="paragraph" w:styleId="4">
    <w:name w:val="heading 4"/>
    <w:basedOn w:val="a"/>
    <w:next w:val="a"/>
    <w:link w:val="40"/>
    <w:uiPriority w:val="9"/>
    <w:unhideWhenUsed/>
    <w:qFormat/>
    <w:rsid w:val="00EE5D7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2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одержимое таблицы"/>
    <w:basedOn w:val="a"/>
    <w:rsid w:val="000E2D0B"/>
    <w:pPr>
      <w:suppressLineNumbers/>
      <w:suppressAutoHyphens/>
    </w:pPr>
    <w:rPr>
      <w:rFonts w:eastAsia="Times New Roman"/>
      <w:lang w:eastAsia="zh-CN"/>
    </w:rPr>
  </w:style>
  <w:style w:type="character" w:customStyle="1" w:styleId="30">
    <w:name w:val="Заголовок 3 Знак"/>
    <w:basedOn w:val="a0"/>
    <w:link w:val="3"/>
    <w:rsid w:val="006E0BEF"/>
    <w:rPr>
      <w:rFonts w:ascii="Times New Roman" w:eastAsia="Times New Roman" w:hAnsi="Times New Roman" w:cs="Times New Roman"/>
      <w:b/>
      <w:bCs/>
      <w:sz w:val="28"/>
      <w:szCs w:val="20"/>
      <w:lang w:eastAsia="zh-CN"/>
    </w:rPr>
  </w:style>
  <w:style w:type="paragraph" w:styleId="a5">
    <w:name w:val="Body Text Indent"/>
    <w:basedOn w:val="a"/>
    <w:link w:val="a6"/>
    <w:rsid w:val="006E0BEF"/>
    <w:pPr>
      <w:suppressAutoHyphens/>
      <w:ind w:left="720"/>
      <w:jc w:val="center"/>
    </w:pPr>
    <w:rPr>
      <w:rFonts w:eastAsia="Times New Roman"/>
      <w:lang w:eastAsia="zh-CN"/>
    </w:rPr>
  </w:style>
  <w:style w:type="character" w:customStyle="1" w:styleId="a6">
    <w:name w:val="Основной текст с отступом Знак"/>
    <w:basedOn w:val="a0"/>
    <w:link w:val="a5"/>
    <w:rsid w:val="006E0BEF"/>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6E0BEF"/>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7">
    <w:name w:val="Balloon Text"/>
    <w:basedOn w:val="a"/>
    <w:link w:val="a8"/>
    <w:uiPriority w:val="99"/>
    <w:semiHidden/>
    <w:unhideWhenUsed/>
    <w:rsid w:val="00754A9D"/>
    <w:rPr>
      <w:rFonts w:ascii="Segoe UI" w:hAnsi="Segoe UI" w:cs="Segoe UI"/>
      <w:sz w:val="18"/>
      <w:szCs w:val="18"/>
    </w:rPr>
  </w:style>
  <w:style w:type="character" w:customStyle="1" w:styleId="a8">
    <w:name w:val="Текст выноски Знак"/>
    <w:basedOn w:val="a0"/>
    <w:link w:val="a7"/>
    <w:uiPriority w:val="99"/>
    <w:semiHidden/>
    <w:rsid w:val="00754A9D"/>
    <w:rPr>
      <w:rFonts w:ascii="Segoe UI" w:hAnsi="Segoe UI" w:cs="Segoe UI"/>
      <w:sz w:val="18"/>
      <w:szCs w:val="18"/>
      <w:lang w:eastAsia="ru-RU"/>
    </w:rPr>
  </w:style>
  <w:style w:type="paragraph" w:styleId="a9">
    <w:name w:val="Normal (Web)"/>
    <w:aliases w:val="Обычный (Web)"/>
    <w:basedOn w:val="a"/>
    <w:uiPriority w:val="99"/>
    <w:qFormat/>
    <w:rsid w:val="00E331CF"/>
    <w:pPr>
      <w:suppressAutoHyphens/>
      <w:spacing w:before="280" w:after="280"/>
    </w:pPr>
    <w:rPr>
      <w:rFonts w:ascii="Arial" w:eastAsia="Arial Unicode MS" w:hAnsi="Arial" w:cs="Arial"/>
      <w:sz w:val="18"/>
      <w:szCs w:val="18"/>
      <w:lang w:eastAsia="zh-CN"/>
    </w:rPr>
  </w:style>
  <w:style w:type="character" w:customStyle="1" w:styleId="ConsPlusNormal0">
    <w:name w:val="ConsPlusNormal Знак"/>
    <w:link w:val="ConsPlusNormal"/>
    <w:locked/>
    <w:rsid w:val="0095043A"/>
    <w:rPr>
      <w:rFonts w:ascii="Arial" w:eastAsia="Times New Roman" w:hAnsi="Arial" w:cs="Arial"/>
      <w:sz w:val="20"/>
      <w:szCs w:val="20"/>
      <w:lang w:eastAsia="zh-CN"/>
    </w:rPr>
  </w:style>
  <w:style w:type="paragraph" w:styleId="aa">
    <w:name w:val="Title"/>
    <w:basedOn w:val="a"/>
    <w:link w:val="ab"/>
    <w:qFormat/>
    <w:rsid w:val="0095043A"/>
    <w:pPr>
      <w:ind w:left="180"/>
      <w:jc w:val="center"/>
    </w:pPr>
    <w:rPr>
      <w:rFonts w:eastAsia="Times New Roman"/>
      <w:b/>
      <w:bCs/>
      <w:sz w:val="28"/>
      <w:szCs w:val="28"/>
    </w:rPr>
  </w:style>
  <w:style w:type="character" w:customStyle="1" w:styleId="ab">
    <w:name w:val="Название Знак"/>
    <w:basedOn w:val="a0"/>
    <w:link w:val="aa"/>
    <w:rsid w:val="0095043A"/>
    <w:rPr>
      <w:rFonts w:ascii="Times New Roman" w:eastAsia="Times New Roman" w:hAnsi="Times New Roman" w:cs="Times New Roman"/>
      <w:b/>
      <w:bCs/>
      <w:sz w:val="28"/>
      <w:szCs w:val="28"/>
      <w:lang w:eastAsia="ru-RU"/>
    </w:rPr>
  </w:style>
  <w:style w:type="paragraph" w:styleId="ac">
    <w:name w:val="header"/>
    <w:basedOn w:val="a"/>
    <w:link w:val="ad"/>
    <w:uiPriority w:val="99"/>
    <w:unhideWhenUsed/>
    <w:rsid w:val="00524E7E"/>
    <w:pPr>
      <w:tabs>
        <w:tab w:val="center" w:pos="4677"/>
        <w:tab w:val="right" w:pos="9355"/>
      </w:tabs>
    </w:pPr>
  </w:style>
  <w:style w:type="character" w:customStyle="1" w:styleId="ad">
    <w:name w:val="Верхний колонтитул Знак"/>
    <w:basedOn w:val="a0"/>
    <w:link w:val="ac"/>
    <w:uiPriority w:val="99"/>
    <w:rsid w:val="00524E7E"/>
    <w:rPr>
      <w:rFonts w:ascii="Times New Roman" w:hAnsi="Times New Roman" w:cs="Times New Roman"/>
      <w:sz w:val="24"/>
      <w:szCs w:val="24"/>
      <w:lang w:eastAsia="ru-RU"/>
    </w:rPr>
  </w:style>
  <w:style w:type="paragraph" w:styleId="ae">
    <w:name w:val="footer"/>
    <w:basedOn w:val="a"/>
    <w:link w:val="af"/>
    <w:uiPriority w:val="99"/>
    <w:unhideWhenUsed/>
    <w:rsid w:val="00524E7E"/>
    <w:pPr>
      <w:tabs>
        <w:tab w:val="center" w:pos="4677"/>
        <w:tab w:val="right" w:pos="9355"/>
      </w:tabs>
    </w:pPr>
  </w:style>
  <w:style w:type="character" w:customStyle="1" w:styleId="af">
    <w:name w:val="Нижний колонтитул Знак"/>
    <w:basedOn w:val="a0"/>
    <w:link w:val="ae"/>
    <w:uiPriority w:val="99"/>
    <w:rsid w:val="00524E7E"/>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EE5D7B"/>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rsid w:val="00EE5D7B"/>
    <w:rPr>
      <w:rFonts w:asciiTheme="majorHAnsi" w:eastAsiaTheme="majorEastAsia" w:hAnsiTheme="majorHAnsi" w:cstheme="majorBidi"/>
      <w:i/>
      <w:iCs/>
      <w:color w:val="2E74B5" w:themeColor="accent1" w:themeShade="BF"/>
      <w:sz w:val="24"/>
      <w:szCs w:val="24"/>
      <w:lang w:eastAsia="ru-RU"/>
    </w:rPr>
  </w:style>
  <w:style w:type="paragraph" w:customStyle="1" w:styleId="text">
    <w:name w:val="text"/>
    <w:basedOn w:val="a"/>
    <w:rsid w:val="00EE5D7B"/>
    <w:pPr>
      <w:ind w:left="120" w:right="120" w:firstLine="150"/>
    </w:pPr>
    <w:rPr>
      <w:rFonts w:ascii="Tahoma" w:eastAsia="Times New Roman" w:hAnsi="Tahoma" w:cs="Tahoma"/>
      <w:sz w:val="18"/>
      <w:szCs w:val="18"/>
    </w:rPr>
  </w:style>
  <w:style w:type="character" w:customStyle="1" w:styleId="k-in">
    <w:name w:val="k-in"/>
    <w:rsid w:val="00852110"/>
  </w:style>
  <w:style w:type="character" w:styleId="af0">
    <w:name w:val="Hyperlink"/>
    <w:rsid w:val="00E55821"/>
    <w:rPr>
      <w:color w:val="0000FF"/>
      <w:u w:val="single"/>
    </w:rPr>
  </w:style>
  <w:style w:type="paragraph" w:customStyle="1" w:styleId="western">
    <w:name w:val="western"/>
    <w:basedOn w:val="a"/>
    <w:rsid w:val="00F50F0A"/>
    <w:pPr>
      <w:spacing w:before="100" w:beforeAutospacing="1"/>
      <w:jc w:val="center"/>
    </w:pPr>
    <w:rPr>
      <w:rFonts w:eastAsia="Times New Roman"/>
      <w:color w:val="000000"/>
      <w:sz w:val="28"/>
      <w:szCs w:val="28"/>
    </w:rPr>
  </w:style>
  <w:style w:type="paragraph" w:customStyle="1" w:styleId="21">
    <w:name w:val="Основной текст с отступом 21"/>
    <w:basedOn w:val="a"/>
    <w:rsid w:val="00F50F0A"/>
    <w:pPr>
      <w:tabs>
        <w:tab w:val="left" w:pos="6096"/>
      </w:tabs>
      <w:suppressAutoHyphens/>
      <w:ind w:left="-142"/>
    </w:pPr>
    <w:rPr>
      <w:rFonts w:eastAsia="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7245">
      <w:bodyDiv w:val="1"/>
      <w:marLeft w:val="0"/>
      <w:marRight w:val="0"/>
      <w:marTop w:val="0"/>
      <w:marBottom w:val="0"/>
      <w:divBdr>
        <w:top w:val="none" w:sz="0" w:space="0" w:color="auto"/>
        <w:left w:val="none" w:sz="0" w:space="0" w:color="auto"/>
        <w:bottom w:val="none" w:sz="0" w:space="0" w:color="auto"/>
        <w:right w:val="none" w:sz="0" w:space="0" w:color="auto"/>
      </w:divBdr>
    </w:div>
    <w:div w:id="184709304">
      <w:bodyDiv w:val="1"/>
      <w:marLeft w:val="0"/>
      <w:marRight w:val="0"/>
      <w:marTop w:val="0"/>
      <w:marBottom w:val="0"/>
      <w:divBdr>
        <w:top w:val="none" w:sz="0" w:space="0" w:color="auto"/>
        <w:left w:val="none" w:sz="0" w:space="0" w:color="auto"/>
        <w:bottom w:val="none" w:sz="0" w:space="0" w:color="auto"/>
        <w:right w:val="none" w:sz="0" w:space="0" w:color="auto"/>
      </w:divBdr>
    </w:div>
    <w:div w:id="744188743">
      <w:bodyDiv w:val="1"/>
      <w:marLeft w:val="0"/>
      <w:marRight w:val="0"/>
      <w:marTop w:val="0"/>
      <w:marBottom w:val="0"/>
      <w:divBdr>
        <w:top w:val="none" w:sz="0" w:space="0" w:color="auto"/>
        <w:left w:val="none" w:sz="0" w:space="0" w:color="auto"/>
        <w:bottom w:val="none" w:sz="0" w:space="0" w:color="auto"/>
        <w:right w:val="none" w:sz="0" w:space="0" w:color="auto"/>
      </w:divBdr>
    </w:div>
    <w:div w:id="1052919588">
      <w:bodyDiv w:val="1"/>
      <w:marLeft w:val="0"/>
      <w:marRight w:val="0"/>
      <w:marTop w:val="0"/>
      <w:marBottom w:val="0"/>
      <w:divBdr>
        <w:top w:val="none" w:sz="0" w:space="0" w:color="auto"/>
        <w:left w:val="none" w:sz="0" w:space="0" w:color="auto"/>
        <w:bottom w:val="none" w:sz="0" w:space="0" w:color="auto"/>
        <w:right w:val="none" w:sz="0" w:space="0" w:color="auto"/>
      </w:divBdr>
    </w:div>
    <w:div w:id="1367486406">
      <w:bodyDiv w:val="1"/>
      <w:marLeft w:val="0"/>
      <w:marRight w:val="0"/>
      <w:marTop w:val="0"/>
      <w:marBottom w:val="0"/>
      <w:divBdr>
        <w:top w:val="none" w:sz="0" w:space="0" w:color="auto"/>
        <w:left w:val="none" w:sz="0" w:space="0" w:color="auto"/>
        <w:bottom w:val="none" w:sz="0" w:space="0" w:color="auto"/>
        <w:right w:val="none" w:sz="0" w:space="0" w:color="auto"/>
      </w:divBdr>
    </w:div>
    <w:div w:id="15773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1466</Words>
  <Characters>8360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Шахова Надежда Александровна</dc:creator>
  <cp:lastModifiedBy>Ряполов Андрей Владимирович</cp:lastModifiedBy>
  <cp:revision>23</cp:revision>
  <cp:lastPrinted>2022-07-15T13:27:00Z</cp:lastPrinted>
  <dcterms:created xsi:type="dcterms:W3CDTF">2023-04-14T07:28:00Z</dcterms:created>
  <dcterms:modified xsi:type="dcterms:W3CDTF">2023-09-07T12:33:00Z</dcterms:modified>
</cp:coreProperties>
</file>