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EF19BB">
      <w:pPr>
        <w:widowControl w:val="0"/>
        <w:ind w:left="10206"/>
        <w:jc w:val="right"/>
        <w:rPr>
          <w:szCs w:val="24"/>
        </w:rPr>
      </w:pPr>
      <w:r w:rsidRPr="004542A4">
        <w:rPr>
          <w:szCs w:val="24"/>
        </w:rPr>
        <w:t>Приложение № 1</w:t>
      </w:r>
    </w:p>
    <w:p w14:paraId="06000000" w14:textId="1ADF3612" w:rsidR="0052416F" w:rsidRPr="004542A4" w:rsidRDefault="00C131AD" w:rsidP="00EF19BB">
      <w:pPr>
        <w:widowControl w:val="0"/>
        <w:ind w:left="10206"/>
        <w:jc w:val="right"/>
        <w:rPr>
          <w:b/>
          <w:szCs w:val="24"/>
        </w:rPr>
      </w:pPr>
      <w:r w:rsidRPr="004542A4">
        <w:rPr>
          <w:szCs w:val="24"/>
        </w:rPr>
        <w:t>к извещени</w:t>
      </w:r>
      <w:r w:rsidR="008831B7" w:rsidRPr="004542A4">
        <w:rPr>
          <w:szCs w:val="24"/>
        </w:rPr>
        <w:t>ю</w:t>
      </w:r>
    </w:p>
    <w:p w14:paraId="07000000" w14:textId="14F39862" w:rsidR="0052416F" w:rsidRDefault="005F7457" w:rsidP="00F935B8">
      <w:pPr>
        <w:widowControl w:val="0"/>
        <w:jc w:val="center"/>
        <w:rPr>
          <w:b/>
          <w:szCs w:val="24"/>
        </w:rPr>
      </w:pPr>
      <w:r w:rsidRPr="00F935B8">
        <w:rPr>
          <w:b/>
          <w:szCs w:val="24"/>
        </w:rPr>
        <w:t>Техническое задание</w:t>
      </w:r>
      <w:r w:rsidR="00BF7B4A" w:rsidRPr="00F935B8">
        <w:rPr>
          <w:b/>
          <w:szCs w:val="24"/>
        </w:rPr>
        <w:t xml:space="preserve"> (описание объекта закупки и условия исполнения государственного контракта)</w:t>
      </w:r>
    </w:p>
    <w:p w14:paraId="4612D19C" w14:textId="77777777" w:rsidR="005E5EAB" w:rsidRDefault="005E5EAB" w:rsidP="00F935B8">
      <w:pPr>
        <w:widowControl w:val="0"/>
        <w:jc w:val="center"/>
        <w:rPr>
          <w:b/>
          <w:szCs w:val="24"/>
        </w:rPr>
      </w:pPr>
    </w:p>
    <w:p w14:paraId="6B23FC3E" w14:textId="77777777" w:rsidR="00EF19BB" w:rsidRPr="00D35110" w:rsidRDefault="00EF19BB" w:rsidP="00EF19BB">
      <w:pPr>
        <w:widowControl w:val="0"/>
        <w:jc w:val="center"/>
        <w:rPr>
          <w:b/>
          <w:szCs w:val="24"/>
        </w:rPr>
      </w:pPr>
      <w:r w:rsidRPr="00D35110">
        <w:rPr>
          <w:b/>
          <w:szCs w:val="24"/>
        </w:rPr>
        <w:t>Поставка медицинских тонометров с речевым выходом</w:t>
      </w:r>
    </w:p>
    <w:p w14:paraId="5E90D3BA" w14:textId="77777777" w:rsidR="00EF19BB" w:rsidRPr="00D35110" w:rsidRDefault="00EF19BB" w:rsidP="00EF19BB">
      <w:pPr>
        <w:widowControl w:val="0"/>
        <w:rPr>
          <w:b/>
          <w:szCs w:val="24"/>
        </w:rPr>
      </w:pPr>
    </w:p>
    <w:tbl>
      <w:tblPr>
        <w:tblStyle w:val="47"/>
        <w:tblpPr w:leftFromText="180" w:rightFromText="180" w:vertAnchor="text" w:tblpY="1"/>
        <w:tblOverlap w:val="never"/>
        <w:tblW w:w="5000" w:type="pct"/>
        <w:tblLook w:val="04A0" w:firstRow="1" w:lastRow="0" w:firstColumn="1" w:lastColumn="0" w:noHBand="0" w:noVBand="1"/>
      </w:tblPr>
      <w:tblGrid>
        <w:gridCol w:w="540"/>
        <w:gridCol w:w="1730"/>
        <w:gridCol w:w="3454"/>
        <w:gridCol w:w="5080"/>
        <w:gridCol w:w="798"/>
        <w:gridCol w:w="652"/>
        <w:gridCol w:w="1056"/>
        <w:gridCol w:w="1476"/>
      </w:tblGrid>
      <w:tr w:rsidR="00EF19BB" w:rsidRPr="00D35110" w14:paraId="0B469F33" w14:textId="77777777" w:rsidTr="00601917">
        <w:tc>
          <w:tcPr>
            <w:tcW w:w="183" w:type="pct"/>
            <w:tcBorders>
              <w:top w:val="single" w:sz="4" w:space="0" w:color="auto"/>
              <w:left w:val="single" w:sz="4" w:space="0" w:color="auto"/>
              <w:bottom w:val="single" w:sz="4" w:space="0" w:color="auto"/>
              <w:right w:val="single" w:sz="4" w:space="0" w:color="auto"/>
            </w:tcBorders>
            <w:hideMark/>
          </w:tcPr>
          <w:p w14:paraId="7517747D" w14:textId="77777777" w:rsidR="00EF19BB" w:rsidRPr="00D35110" w:rsidRDefault="00EF19BB" w:rsidP="00601917">
            <w:pPr>
              <w:keepLines/>
              <w:widowControl w:val="0"/>
              <w:jc w:val="both"/>
              <w:rPr>
                <w:rFonts w:eastAsia="Times New Roman"/>
                <w:sz w:val="24"/>
                <w:szCs w:val="24"/>
                <w:lang w:eastAsia="ar-SA"/>
              </w:rPr>
            </w:pPr>
            <w:r w:rsidRPr="00D35110">
              <w:rPr>
                <w:sz w:val="24"/>
                <w:szCs w:val="24"/>
                <w:lang w:eastAsia="ar-SA"/>
              </w:rPr>
              <w:t>№ п/п</w:t>
            </w:r>
          </w:p>
        </w:tc>
        <w:tc>
          <w:tcPr>
            <w:tcW w:w="585" w:type="pct"/>
            <w:tcBorders>
              <w:top w:val="single" w:sz="4" w:space="0" w:color="auto"/>
              <w:left w:val="single" w:sz="4" w:space="0" w:color="auto"/>
              <w:bottom w:val="single" w:sz="4" w:space="0" w:color="auto"/>
              <w:right w:val="single" w:sz="4" w:space="0" w:color="auto"/>
            </w:tcBorders>
            <w:hideMark/>
          </w:tcPr>
          <w:p w14:paraId="1FDCCB29"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t>Наименование товара, работ, услуг</w:t>
            </w:r>
          </w:p>
        </w:tc>
        <w:tc>
          <w:tcPr>
            <w:tcW w:w="1168" w:type="pct"/>
            <w:tcBorders>
              <w:top w:val="single" w:sz="4" w:space="0" w:color="auto"/>
              <w:left w:val="single" w:sz="4" w:space="0" w:color="auto"/>
              <w:bottom w:val="single" w:sz="4" w:space="0" w:color="auto"/>
              <w:right w:val="single" w:sz="4" w:space="0" w:color="auto"/>
            </w:tcBorders>
          </w:tcPr>
          <w:p w14:paraId="746A9F29" w14:textId="77777777" w:rsidR="00EF19BB" w:rsidRPr="00D35110" w:rsidRDefault="00EF19BB" w:rsidP="00601917">
            <w:pPr>
              <w:keepLines/>
              <w:widowControl w:val="0"/>
              <w:jc w:val="center"/>
              <w:rPr>
                <w:sz w:val="24"/>
                <w:szCs w:val="24"/>
                <w:lang w:eastAsia="ar-SA"/>
              </w:rPr>
            </w:pPr>
            <w:r w:rsidRPr="00D35110">
              <w:rPr>
                <w:sz w:val="24"/>
                <w:szCs w:val="24"/>
                <w:lang w:eastAsia="ar-SA"/>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D35110">
              <w:rPr>
                <w:sz w:val="24"/>
                <w:szCs w:val="24"/>
                <w:lang w:eastAsia="ar-SA"/>
              </w:rPr>
              <w:lastRenderedPageBreak/>
              <w:t>абилитации</w:t>
            </w:r>
            <w:proofErr w:type="spellEnd"/>
            <w:r w:rsidRPr="00D35110">
              <w:rPr>
                <w:sz w:val="24"/>
                <w:szCs w:val="24"/>
                <w:lang w:eastAsia="ar-SA"/>
              </w:rPr>
              <w:t xml:space="preserve"> инвалида</w:t>
            </w:r>
          </w:p>
        </w:tc>
        <w:tc>
          <w:tcPr>
            <w:tcW w:w="1718" w:type="pct"/>
            <w:tcBorders>
              <w:top w:val="single" w:sz="4" w:space="0" w:color="auto"/>
              <w:left w:val="single" w:sz="4" w:space="0" w:color="auto"/>
              <w:bottom w:val="single" w:sz="4" w:space="0" w:color="auto"/>
              <w:right w:val="single" w:sz="4" w:space="0" w:color="auto"/>
            </w:tcBorders>
            <w:hideMark/>
          </w:tcPr>
          <w:p w14:paraId="3968DBBC"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lastRenderedPageBreak/>
              <w:t>Описание объекта закупки</w:t>
            </w:r>
          </w:p>
        </w:tc>
        <w:tc>
          <w:tcPr>
            <w:tcW w:w="270" w:type="pct"/>
            <w:tcBorders>
              <w:top w:val="single" w:sz="4" w:space="0" w:color="auto"/>
              <w:left w:val="single" w:sz="4" w:space="0" w:color="auto"/>
              <w:bottom w:val="single" w:sz="4" w:space="0" w:color="auto"/>
              <w:right w:val="single" w:sz="4" w:space="0" w:color="auto"/>
            </w:tcBorders>
            <w:hideMark/>
          </w:tcPr>
          <w:p w14:paraId="06C28E3F"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t>Кол-во</w:t>
            </w:r>
          </w:p>
        </w:tc>
        <w:tc>
          <w:tcPr>
            <w:tcW w:w="220" w:type="pct"/>
            <w:tcBorders>
              <w:top w:val="single" w:sz="4" w:space="0" w:color="auto"/>
              <w:left w:val="single" w:sz="4" w:space="0" w:color="auto"/>
              <w:bottom w:val="single" w:sz="4" w:space="0" w:color="auto"/>
              <w:right w:val="single" w:sz="4" w:space="0" w:color="auto"/>
            </w:tcBorders>
            <w:hideMark/>
          </w:tcPr>
          <w:p w14:paraId="70D7BD48"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t>Ед. изм.</w:t>
            </w:r>
          </w:p>
        </w:tc>
        <w:tc>
          <w:tcPr>
            <w:tcW w:w="357" w:type="pct"/>
            <w:tcBorders>
              <w:top w:val="single" w:sz="4" w:space="0" w:color="auto"/>
              <w:left w:val="single" w:sz="4" w:space="0" w:color="auto"/>
              <w:bottom w:val="single" w:sz="4" w:space="0" w:color="auto"/>
              <w:right w:val="single" w:sz="4" w:space="0" w:color="auto"/>
            </w:tcBorders>
            <w:hideMark/>
          </w:tcPr>
          <w:p w14:paraId="1F856E6A"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t>Цена за ед. изм.</w:t>
            </w:r>
            <w:r w:rsidRPr="00D35110">
              <w:rPr>
                <w:sz w:val="24"/>
                <w:szCs w:val="24"/>
                <w:vertAlign w:val="superscript"/>
                <w:lang w:eastAsia="ar-SA"/>
              </w:rPr>
              <w:footnoteReference w:id="1"/>
            </w:r>
            <w:r w:rsidRPr="00D35110">
              <w:rPr>
                <w:sz w:val="24"/>
                <w:szCs w:val="24"/>
                <w:lang w:eastAsia="ar-SA"/>
              </w:rPr>
              <w:t>, руб.</w:t>
            </w:r>
          </w:p>
        </w:tc>
        <w:tc>
          <w:tcPr>
            <w:tcW w:w="499" w:type="pct"/>
            <w:tcBorders>
              <w:top w:val="single" w:sz="4" w:space="0" w:color="auto"/>
              <w:left w:val="single" w:sz="4" w:space="0" w:color="auto"/>
              <w:bottom w:val="single" w:sz="4" w:space="0" w:color="auto"/>
              <w:right w:val="single" w:sz="4" w:space="0" w:color="auto"/>
            </w:tcBorders>
            <w:hideMark/>
          </w:tcPr>
          <w:p w14:paraId="5CE9AAB4"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t>Цена по позиции</w:t>
            </w:r>
            <w:r w:rsidRPr="00D35110">
              <w:rPr>
                <w:sz w:val="24"/>
                <w:szCs w:val="24"/>
                <w:vertAlign w:val="superscript"/>
                <w:lang w:eastAsia="ar-SA"/>
              </w:rPr>
              <w:footnoteReference w:id="2"/>
            </w:r>
            <w:r w:rsidRPr="00D35110">
              <w:rPr>
                <w:sz w:val="24"/>
                <w:szCs w:val="24"/>
                <w:lang w:eastAsia="ar-SA"/>
              </w:rPr>
              <w:t>, руб.</w:t>
            </w:r>
          </w:p>
        </w:tc>
      </w:tr>
      <w:tr w:rsidR="00EF19BB" w:rsidRPr="00D35110" w14:paraId="199615C1" w14:textId="77777777" w:rsidTr="00601917">
        <w:trPr>
          <w:trHeight w:val="699"/>
        </w:trPr>
        <w:tc>
          <w:tcPr>
            <w:tcW w:w="183" w:type="pct"/>
            <w:tcBorders>
              <w:top w:val="single" w:sz="4" w:space="0" w:color="auto"/>
              <w:left w:val="single" w:sz="4" w:space="0" w:color="auto"/>
              <w:bottom w:val="single" w:sz="4" w:space="0" w:color="auto"/>
              <w:right w:val="single" w:sz="4" w:space="0" w:color="auto"/>
            </w:tcBorders>
            <w:hideMark/>
          </w:tcPr>
          <w:p w14:paraId="2F5618E8"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lang w:eastAsia="ar-SA"/>
              </w:rPr>
              <w:t>1.</w:t>
            </w:r>
          </w:p>
        </w:tc>
        <w:tc>
          <w:tcPr>
            <w:tcW w:w="585" w:type="pct"/>
          </w:tcPr>
          <w:p w14:paraId="15064AA9" w14:textId="77777777" w:rsidR="00EF19BB" w:rsidRPr="00D35110" w:rsidRDefault="00EF19BB" w:rsidP="00601917">
            <w:pPr>
              <w:keepLines/>
              <w:widowControl w:val="0"/>
              <w:rPr>
                <w:rFonts w:eastAsia="Times New Roman"/>
                <w:sz w:val="24"/>
                <w:szCs w:val="24"/>
                <w:lang w:eastAsia="ar-SA"/>
              </w:rPr>
            </w:pPr>
            <w:r w:rsidRPr="00D35110">
              <w:rPr>
                <w:rFonts w:eastAsia="Times New Roman"/>
                <w:sz w:val="24"/>
                <w:szCs w:val="24"/>
                <w:lang w:eastAsia="ar-SA"/>
              </w:rPr>
              <w:t>Медицинский тонометр с речевым выходом</w:t>
            </w:r>
          </w:p>
        </w:tc>
        <w:tc>
          <w:tcPr>
            <w:tcW w:w="1168" w:type="pct"/>
            <w:tcBorders>
              <w:top w:val="single" w:sz="4" w:space="0" w:color="auto"/>
              <w:left w:val="single" w:sz="4" w:space="0" w:color="auto"/>
              <w:bottom w:val="single" w:sz="4" w:space="0" w:color="auto"/>
              <w:right w:val="single" w:sz="4" w:space="0" w:color="auto"/>
            </w:tcBorders>
          </w:tcPr>
          <w:p w14:paraId="2D6AE8B9" w14:textId="77777777" w:rsidR="00EF19BB" w:rsidRPr="00D35110" w:rsidRDefault="00EF19BB" w:rsidP="00601917">
            <w:pPr>
              <w:autoSpaceDE w:val="0"/>
              <w:autoSpaceDN w:val="0"/>
              <w:adjustRightInd w:val="0"/>
              <w:rPr>
                <w:sz w:val="24"/>
                <w:szCs w:val="24"/>
              </w:rPr>
            </w:pPr>
            <w:r w:rsidRPr="00D35110">
              <w:rPr>
                <w:iCs/>
                <w:color w:val="000000"/>
                <w:sz w:val="24"/>
                <w:szCs w:val="24"/>
                <w:lang w:eastAsia="ru-RU"/>
              </w:rPr>
              <w:t>Медицинский тонометр с речевым выходом</w:t>
            </w:r>
          </w:p>
        </w:tc>
        <w:tc>
          <w:tcPr>
            <w:tcW w:w="1718" w:type="pct"/>
            <w:vAlign w:val="center"/>
          </w:tcPr>
          <w:tbl>
            <w:tblPr>
              <w:tblStyle w:val="affff2"/>
              <w:tblW w:w="0" w:type="auto"/>
              <w:tblLook w:val="04A0" w:firstRow="1" w:lastRow="0" w:firstColumn="1" w:lastColumn="0" w:noHBand="0" w:noVBand="1"/>
            </w:tblPr>
            <w:tblGrid>
              <w:gridCol w:w="2231"/>
              <w:gridCol w:w="2623"/>
            </w:tblGrid>
            <w:tr w:rsidR="00EF19BB" w:rsidRPr="00D35110" w14:paraId="1C665FA1" w14:textId="77777777" w:rsidTr="00601917">
              <w:tc>
                <w:tcPr>
                  <w:tcW w:w="2231" w:type="dxa"/>
                </w:tcPr>
                <w:p w14:paraId="796EC4F0" w14:textId="77777777" w:rsidR="00EF19BB" w:rsidRPr="00D35110" w:rsidRDefault="00EF19BB" w:rsidP="00FE3476">
                  <w:pPr>
                    <w:framePr w:hSpace="180" w:wrap="around" w:vAnchor="text" w:hAnchor="text" w:y="1"/>
                    <w:suppressOverlap/>
                    <w:rPr>
                      <w:b/>
                      <w:szCs w:val="24"/>
                    </w:rPr>
                  </w:pPr>
                  <w:r w:rsidRPr="00D35110">
                    <w:rPr>
                      <w:b/>
                      <w:szCs w:val="24"/>
                    </w:rPr>
                    <w:t>Наименование характеристики</w:t>
                  </w:r>
                </w:p>
              </w:tc>
              <w:tc>
                <w:tcPr>
                  <w:tcW w:w="2623" w:type="dxa"/>
                </w:tcPr>
                <w:p w14:paraId="2986332F" w14:textId="77777777" w:rsidR="00EF19BB" w:rsidRPr="00D35110" w:rsidRDefault="00EF19BB" w:rsidP="00FE3476">
                  <w:pPr>
                    <w:keepLines/>
                    <w:framePr w:hSpace="180" w:wrap="around" w:vAnchor="text" w:hAnchor="text" w:y="1"/>
                    <w:suppressOverlap/>
                    <w:jc w:val="both"/>
                    <w:rPr>
                      <w:b/>
                      <w:szCs w:val="24"/>
                    </w:rPr>
                  </w:pPr>
                  <w:r w:rsidRPr="00D35110">
                    <w:rPr>
                      <w:b/>
                      <w:szCs w:val="24"/>
                    </w:rPr>
                    <w:t>Значение характеристики</w:t>
                  </w:r>
                </w:p>
              </w:tc>
            </w:tr>
            <w:tr w:rsidR="00EF19BB" w:rsidRPr="00D35110" w14:paraId="3576C5EB" w14:textId="77777777" w:rsidTr="00601917">
              <w:tc>
                <w:tcPr>
                  <w:tcW w:w="2231" w:type="dxa"/>
                </w:tcPr>
                <w:p w14:paraId="1E6F56E4" w14:textId="77777777" w:rsidR="00EF19BB" w:rsidRPr="00D35110" w:rsidRDefault="00EF19BB" w:rsidP="00FE3476">
                  <w:pPr>
                    <w:framePr w:hSpace="180" w:wrap="around" w:vAnchor="text" w:hAnchor="text" w:y="1"/>
                    <w:suppressOverlap/>
                    <w:rPr>
                      <w:szCs w:val="24"/>
                    </w:rPr>
                  </w:pPr>
                  <w:r w:rsidRPr="00D35110">
                    <w:rPr>
                      <w:szCs w:val="24"/>
                    </w:rPr>
                    <w:t xml:space="preserve">Аппарат (медицинский тонометр с речевым выходом) предназначен для самостоятельного измерения артериального давления (АД) и частоты сердцебиений (ЧСС, </w:t>
                  </w:r>
                  <w:proofErr w:type="spellStart"/>
                  <w:r w:rsidRPr="00D35110">
                    <w:rPr>
                      <w:szCs w:val="24"/>
                    </w:rPr>
                    <w:t>pulse</w:t>
                  </w:r>
                  <w:proofErr w:type="spellEnd"/>
                  <w:r w:rsidRPr="00D35110">
                    <w:rPr>
                      <w:szCs w:val="24"/>
                    </w:rPr>
                    <w:t xml:space="preserve">, </w:t>
                  </w:r>
                  <w:proofErr w:type="spellStart"/>
                  <w:r w:rsidRPr="00D35110">
                    <w:rPr>
                      <w:szCs w:val="24"/>
                    </w:rPr>
                    <w:t>rate</w:t>
                  </w:r>
                  <w:proofErr w:type="spellEnd"/>
                  <w:r w:rsidRPr="00D35110">
                    <w:rPr>
                      <w:szCs w:val="24"/>
                    </w:rPr>
                    <w:t>) инвалидам по зрению</w:t>
                  </w:r>
                </w:p>
              </w:tc>
              <w:tc>
                <w:tcPr>
                  <w:tcW w:w="2623" w:type="dxa"/>
                </w:tcPr>
                <w:p w14:paraId="30653388" w14:textId="77777777" w:rsidR="00EF19BB" w:rsidRPr="00D35110" w:rsidRDefault="00EF19BB" w:rsidP="00FE3476">
                  <w:pPr>
                    <w:keepLines/>
                    <w:framePr w:hSpace="180" w:wrap="around" w:vAnchor="text" w:hAnchor="text" w:y="1"/>
                    <w:suppressOverlap/>
                    <w:jc w:val="both"/>
                    <w:rPr>
                      <w:szCs w:val="24"/>
                    </w:rPr>
                  </w:pPr>
                  <w:r w:rsidRPr="00D35110">
                    <w:rPr>
                      <w:szCs w:val="24"/>
                    </w:rPr>
                    <w:t>Да</w:t>
                  </w:r>
                </w:p>
              </w:tc>
            </w:tr>
            <w:tr w:rsidR="00EF19BB" w:rsidRPr="00D35110" w14:paraId="58C898C4" w14:textId="77777777" w:rsidTr="00601917">
              <w:tc>
                <w:tcPr>
                  <w:tcW w:w="2231" w:type="dxa"/>
                </w:tcPr>
                <w:p w14:paraId="28939639" w14:textId="77777777" w:rsidR="00EF19BB" w:rsidRPr="00D35110" w:rsidRDefault="00EF19BB" w:rsidP="00FE3476">
                  <w:pPr>
                    <w:framePr w:hSpace="180" w:wrap="around" w:vAnchor="text" w:hAnchor="text" w:y="1"/>
                    <w:suppressOverlap/>
                    <w:rPr>
                      <w:szCs w:val="24"/>
                    </w:rPr>
                  </w:pPr>
                  <w:r w:rsidRPr="00D35110">
                    <w:rPr>
                      <w:szCs w:val="24"/>
                    </w:rPr>
                    <w:t>Дублирование показаний на русском языке</w:t>
                  </w:r>
                </w:p>
              </w:tc>
              <w:tc>
                <w:tcPr>
                  <w:tcW w:w="2623" w:type="dxa"/>
                </w:tcPr>
                <w:p w14:paraId="40F6D7FB" w14:textId="77777777" w:rsidR="00EF19BB" w:rsidRPr="00D35110" w:rsidRDefault="00EF19BB" w:rsidP="00FE3476">
                  <w:pPr>
                    <w:keepLines/>
                    <w:framePr w:hSpace="180" w:wrap="around" w:vAnchor="text" w:hAnchor="text" w:y="1"/>
                    <w:suppressOverlap/>
                    <w:jc w:val="both"/>
                    <w:rPr>
                      <w:szCs w:val="24"/>
                    </w:rPr>
                  </w:pPr>
                  <w:r w:rsidRPr="00D35110">
                    <w:rPr>
                      <w:szCs w:val="24"/>
                    </w:rPr>
                    <w:t>должен дублировать все показания визуального дисплея соответствующими речевыми и звуковыми сообщениями на русском языке</w:t>
                  </w:r>
                </w:p>
              </w:tc>
            </w:tr>
            <w:tr w:rsidR="00EF19BB" w:rsidRPr="00D35110" w14:paraId="0FF2F7F8" w14:textId="77777777" w:rsidTr="00601917">
              <w:tc>
                <w:tcPr>
                  <w:tcW w:w="2231" w:type="dxa"/>
                </w:tcPr>
                <w:p w14:paraId="22997637" w14:textId="77777777" w:rsidR="00EF19BB" w:rsidRPr="00D35110" w:rsidRDefault="00EF19BB" w:rsidP="00FE3476">
                  <w:pPr>
                    <w:framePr w:hSpace="180" w:wrap="around" w:vAnchor="text" w:hAnchor="text" w:y="1"/>
                    <w:suppressOverlap/>
                    <w:rPr>
                      <w:szCs w:val="24"/>
                    </w:rPr>
                  </w:pPr>
                  <w:r w:rsidRPr="00D35110">
                    <w:rPr>
                      <w:szCs w:val="24"/>
                    </w:rPr>
                    <w:t>Функции</w:t>
                  </w:r>
                </w:p>
              </w:tc>
              <w:tc>
                <w:tcPr>
                  <w:tcW w:w="2623" w:type="dxa"/>
                </w:tcPr>
                <w:p w14:paraId="7458DBBE" w14:textId="77777777" w:rsidR="00EF19BB" w:rsidRPr="00D35110" w:rsidRDefault="00EF19BB" w:rsidP="00FE3476">
                  <w:pPr>
                    <w:keepLines/>
                    <w:framePr w:hSpace="180" w:wrap="around" w:vAnchor="text" w:hAnchor="text" w:y="1"/>
                    <w:suppressOverlap/>
                    <w:jc w:val="both"/>
                    <w:rPr>
                      <w:szCs w:val="24"/>
                    </w:rPr>
                  </w:pPr>
                  <w:r w:rsidRPr="00D35110">
                    <w:rPr>
                      <w:szCs w:val="24"/>
                    </w:rPr>
                    <w:t xml:space="preserve">аппарат должен выполнять следующие функции: голосовое воспроизведение индикации результатов измерения АД и ЧСС; плавная регулировка громкости голосового воспроизведения; выход голосового сообщения через внутренний динамик и (или) на наружные </w:t>
                  </w:r>
                  <w:r w:rsidRPr="00D35110">
                    <w:rPr>
                      <w:szCs w:val="24"/>
                    </w:rPr>
                    <w:lastRenderedPageBreak/>
                    <w:t>телефоны через линейный выход (при наличии); звуковое сопровождение ритма сердечных сокращений; речевое дублирование всех показаний визуального дисплея; контроль состояния элементов питания (с речевым выходом); накачка манжеты осуществляется автоматически с помощью управляемого интеллектуальной системой без предварительной ручной установки диапазонов измерений.</w:t>
                  </w:r>
                </w:p>
              </w:tc>
            </w:tr>
            <w:tr w:rsidR="00A4209A" w:rsidRPr="00D35110" w14:paraId="15048CAB" w14:textId="77777777" w:rsidTr="00D716FB">
              <w:tc>
                <w:tcPr>
                  <w:tcW w:w="2231" w:type="dxa"/>
                  <w:shd w:val="clear" w:color="auto" w:fill="auto"/>
                </w:tcPr>
                <w:p w14:paraId="771FA6F4" w14:textId="2BC9C504" w:rsidR="00A4209A" w:rsidRPr="00D35110" w:rsidRDefault="00A4209A" w:rsidP="00FE3476">
                  <w:pPr>
                    <w:framePr w:hSpace="180" w:wrap="around" w:vAnchor="text" w:hAnchor="text" w:y="1"/>
                    <w:suppressOverlap/>
                    <w:rPr>
                      <w:szCs w:val="24"/>
                    </w:rPr>
                  </w:pPr>
                  <w:r w:rsidRPr="00D35110">
                    <w:lastRenderedPageBreak/>
                    <w:t>Работа в режиме АД и ЧСС</w:t>
                  </w:r>
                </w:p>
              </w:tc>
              <w:tc>
                <w:tcPr>
                  <w:tcW w:w="2623" w:type="dxa"/>
                  <w:shd w:val="clear" w:color="auto" w:fill="auto"/>
                </w:tcPr>
                <w:p w14:paraId="1454D1E2" w14:textId="3EE6FA11" w:rsidR="00A4209A" w:rsidRPr="00FE3476" w:rsidRDefault="00A4209A" w:rsidP="00FE3476">
                  <w:pPr>
                    <w:keepLines/>
                    <w:framePr w:hSpace="180" w:wrap="around" w:vAnchor="text" w:hAnchor="text" w:y="1"/>
                    <w:suppressOverlap/>
                    <w:jc w:val="both"/>
                    <w:rPr>
                      <w:szCs w:val="24"/>
                    </w:rPr>
                  </w:pPr>
                  <w:bookmarkStart w:id="0" w:name="_GoBack"/>
                  <w:r w:rsidRPr="00FE3476">
                    <w:rPr>
                      <w:szCs w:val="24"/>
                    </w:rPr>
                    <w:t xml:space="preserve">в режиме АД и ЧСС аппарат должен соответствовать следующим характеристикам: точность измерения давления в манжете: ±1 </w:t>
                  </w:r>
                  <w:proofErr w:type="spellStart"/>
                  <w:r w:rsidRPr="00FE3476">
                    <w:rPr>
                      <w:szCs w:val="24"/>
                    </w:rPr>
                    <w:t>mmHg</w:t>
                  </w:r>
                  <w:proofErr w:type="spellEnd"/>
                  <w:r w:rsidRPr="00FE3476">
                    <w:rPr>
                      <w:szCs w:val="24"/>
                    </w:rPr>
                    <w:t xml:space="preserve"> (±0.13 </w:t>
                  </w:r>
                  <w:proofErr w:type="spellStart"/>
                  <w:r w:rsidRPr="00FE3476">
                    <w:rPr>
                      <w:szCs w:val="24"/>
                    </w:rPr>
                    <w:t>kPa</w:t>
                  </w:r>
                  <w:proofErr w:type="spellEnd"/>
                  <w:r w:rsidRPr="00FE3476">
                    <w:rPr>
                      <w:szCs w:val="24"/>
                    </w:rPr>
                    <w:t xml:space="preserve">); точность определения АД: ±3 </w:t>
                  </w:r>
                  <w:proofErr w:type="spellStart"/>
                  <w:r w:rsidRPr="00FE3476">
                    <w:rPr>
                      <w:szCs w:val="24"/>
                    </w:rPr>
                    <w:t>mmHg</w:t>
                  </w:r>
                  <w:proofErr w:type="spellEnd"/>
                  <w:r w:rsidRPr="00FE3476">
                    <w:rPr>
                      <w:szCs w:val="24"/>
                    </w:rPr>
                    <w:t xml:space="preserve"> (±0.4 </w:t>
                  </w:r>
                  <w:proofErr w:type="spellStart"/>
                  <w:r w:rsidRPr="00FE3476">
                    <w:rPr>
                      <w:szCs w:val="24"/>
                    </w:rPr>
                    <w:t>kPa</w:t>
                  </w:r>
                  <w:proofErr w:type="spellEnd"/>
                  <w:r w:rsidRPr="00FE3476">
                    <w:rPr>
                      <w:szCs w:val="24"/>
                    </w:rPr>
                    <w:t xml:space="preserve">); точность определения ЧСС: ±3%; диапазон определения АД: </w:t>
                  </w:r>
                  <w:r w:rsidRPr="00FE3476">
                    <w:rPr>
                      <w:bCs/>
                      <w:szCs w:val="24"/>
                    </w:rPr>
                    <w:t xml:space="preserve">не </w:t>
                  </w:r>
                  <w:r w:rsidRPr="00FE3476">
                    <w:rPr>
                      <w:bCs/>
                      <w:szCs w:val="24"/>
                    </w:rPr>
                    <w:lastRenderedPageBreak/>
                    <w:t>менее</w:t>
                  </w:r>
                  <w:r w:rsidRPr="00FE3476">
                    <w:rPr>
                      <w:szCs w:val="24"/>
                    </w:rPr>
                    <w:t xml:space="preserve"> 40-250 </w:t>
                  </w:r>
                  <w:proofErr w:type="spellStart"/>
                  <w:r w:rsidRPr="00FE3476">
                    <w:rPr>
                      <w:szCs w:val="24"/>
                    </w:rPr>
                    <w:t>mmHg</w:t>
                  </w:r>
                  <w:proofErr w:type="spellEnd"/>
                  <w:r w:rsidRPr="00FE3476">
                    <w:rPr>
                      <w:szCs w:val="24"/>
                    </w:rPr>
                    <w:t xml:space="preserve"> (5.3 – 33.3 </w:t>
                  </w:r>
                  <w:proofErr w:type="spellStart"/>
                  <w:r w:rsidRPr="00FE3476">
                    <w:rPr>
                      <w:szCs w:val="24"/>
                    </w:rPr>
                    <w:t>kPa</w:t>
                  </w:r>
                  <w:proofErr w:type="spellEnd"/>
                  <w:r w:rsidRPr="00FE3476">
                    <w:rPr>
                      <w:szCs w:val="24"/>
                    </w:rPr>
                    <w:t xml:space="preserve">); диапазон определения ЧСС: </w:t>
                  </w:r>
                  <w:r w:rsidRPr="00FE3476">
                    <w:rPr>
                      <w:bCs/>
                      <w:szCs w:val="24"/>
                    </w:rPr>
                    <w:t>не менее</w:t>
                  </w:r>
                  <w:r w:rsidRPr="00FE3476">
                    <w:rPr>
                      <w:szCs w:val="24"/>
                    </w:rPr>
                    <w:t xml:space="preserve"> 40-160 ударов в минуту.</w:t>
                  </w:r>
                  <w:bookmarkEnd w:id="0"/>
                </w:p>
              </w:tc>
            </w:tr>
            <w:tr w:rsidR="00EF19BB" w:rsidRPr="00D35110" w14:paraId="722E3A9C" w14:textId="77777777" w:rsidTr="00601917">
              <w:tc>
                <w:tcPr>
                  <w:tcW w:w="2231" w:type="dxa"/>
                </w:tcPr>
                <w:p w14:paraId="6A952D1F" w14:textId="77777777" w:rsidR="00EF19BB" w:rsidRPr="00D35110" w:rsidRDefault="00EF19BB" w:rsidP="00FE3476">
                  <w:pPr>
                    <w:framePr w:hSpace="180" w:wrap="around" w:vAnchor="text" w:hAnchor="text" w:y="1"/>
                    <w:suppressOverlap/>
                    <w:rPr>
                      <w:szCs w:val="24"/>
                    </w:rPr>
                  </w:pPr>
                  <w:r w:rsidRPr="00D35110">
                    <w:rPr>
                      <w:szCs w:val="24"/>
                    </w:rPr>
                    <w:lastRenderedPageBreak/>
                    <w:t>Относительная погрешность при измерении частоты сердечных сокращений</w:t>
                  </w:r>
                </w:p>
              </w:tc>
              <w:tc>
                <w:tcPr>
                  <w:tcW w:w="2623" w:type="dxa"/>
                </w:tcPr>
                <w:p w14:paraId="77F0F685" w14:textId="77777777" w:rsidR="00EF19BB" w:rsidRPr="00D35110" w:rsidRDefault="00EF19BB" w:rsidP="00FE3476">
                  <w:pPr>
                    <w:keepLines/>
                    <w:framePr w:hSpace="180" w:wrap="around" w:vAnchor="text" w:hAnchor="text" w:y="1"/>
                    <w:suppressOverlap/>
                    <w:jc w:val="both"/>
                    <w:rPr>
                      <w:szCs w:val="24"/>
                    </w:rPr>
                  </w:pPr>
                  <w:r w:rsidRPr="00D35110">
                    <w:rPr>
                      <w:szCs w:val="24"/>
                    </w:rPr>
                    <w:t>не более 5%.</w:t>
                  </w:r>
                </w:p>
              </w:tc>
            </w:tr>
            <w:tr w:rsidR="00EF19BB" w:rsidRPr="00D35110" w14:paraId="763FA1AE" w14:textId="77777777" w:rsidTr="00601917">
              <w:tc>
                <w:tcPr>
                  <w:tcW w:w="2231" w:type="dxa"/>
                </w:tcPr>
                <w:p w14:paraId="728B5AE5" w14:textId="77777777" w:rsidR="00EF19BB" w:rsidRPr="00D35110" w:rsidRDefault="00EF19BB" w:rsidP="00FE3476">
                  <w:pPr>
                    <w:framePr w:hSpace="180" w:wrap="around" w:vAnchor="text" w:hAnchor="text" w:y="1"/>
                    <w:suppressOverlap/>
                    <w:rPr>
                      <w:szCs w:val="24"/>
                    </w:rPr>
                  </w:pPr>
                  <w:r w:rsidRPr="00D35110">
                    <w:rPr>
                      <w:szCs w:val="24"/>
                    </w:rPr>
                    <w:t>Комплектация</w:t>
                  </w:r>
                </w:p>
              </w:tc>
              <w:tc>
                <w:tcPr>
                  <w:tcW w:w="2623" w:type="dxa"/>
                </w:tcPr>
                <w:p w14:paraId="672AF681" w14:textId="77777777" w:rsidR="00EF19BB" w:rsidRPr="00D35110" w:rsidRDefault="00EF19BB" w:rsidP="00FE3476">
                  <w:pPr>
                    <w:keepLines/>
                    <w:framePr w:hSpace="180" w:wrap="around" w:vAnchor="text" w:hAnchor="text" w:y="1"/>
                    <w:suppressOverlap/>
                    <w:jc w:val="both"/>
                    <w:rPr>
                      <w:szCs w:val="24"/>
                    </w:rPr>
                  </w:pPr>
                  <w:r w:rsidRPr="00D35110">
                    <w:rPr>
                      <w:szCs w:val="24"/>
                    </w:rPr>
                    <w:t>аппарат должен состоять из единого корпуса с единой системой управления, к корпусу должна подключается манжета тонометра.</w:t>
                  </w:r>
                </w:p>
              </w:tc>
            </w:tr>
            <w:tr w:rsidR="00EF19BB" w:rsidRPr="00D35110" w14:paraId="4F3113A2" w14:textId="77777777" w:rsidTr="00601917">
              <w:tc>
                <w:tcPr>
                  <w:tcW w:w="2231" w:type="dxa"/>
                </w:tcPr>
                <w:p w14:paraId="022A82DB" w14:textId="77777777" w:rsidR="00EF19BB" w:rsidRPr="00D35110" w:rsidRDefault="00EF19BB" w:rsidP="00FE3476">
                  <w:pPr>
                    <w:framePr w:hSpace="180" w:wrap="around" w:vAnchor="text" w:hAnchor="text" w:y="1"/>
                    <w:suppressOverlap/>
                    <w:rPr>
                      <w:szCs w:val="24"/>
                    </w:rPr>
                  </w:pPr>
                  <w:r w:rsidRPr="00D35110">
                    <w:rPr>
                      <w:szCs w:val="24"/>
                    </w:rPr>
                    <w:t>Материал манжеты</w:t>
                  </w:r>
                </w:p>
              </w:tc>
              <w:tc>
                <w:tcPr>
                  <w:tcW w:w="2623" w:type="dxa"/>
                </w:tcPr>
                <w:p w14:paraId="33EABBBD" w14:textId="77777777" w:rsidR="00EF19BB" w:rsidRPr="00D35110" w:rsidRDefault="00EF19BB" w:rsidP="00FE3476">
                  <w:pPr>
                    <w:keepLines/>
                    <w:framePr w:hSpace="180" w:wrap="around" w:vAnchor="text" w:hAnchor="text" w:y="1"/>
                    <w:suppressOverlap/>
                    <w:jc w:val="both"/>
                    <w:rPr>
                      <w:szCs w:val="24"/>
                    </w:rPr>
                  </w:pPr>
                  <w:r w:rsidRPr="00D35110">
                    <w:rPr>
                      <w:szCs w:val="24"/>
                    </w:rPr>
                    <w:t xml:space="preserve">манжета тонометра должна быть изготовлена из долговечной латексной резины и должна иметь </w:t>
                  </w:r>
                  <w:proofErr w:type="spellStart"/>
                  <w:r w:rsidRPr="00D35110">
                    <w:rPr>
                      <w:szCs w:val="24"/>
                    </w:rPr>
                    <w:t>пневмокамеру</w:t>
                  </w:r>
                  <w:proofErr w:type="spellEnd"/>
                  <w:r w:rsidRPr="00D35110">
                    <w:rPr>
                      <w:szCs w:val="24"/>
                    </w:rPr>
                    <w:t>.</w:t>
                  </w:r>
                </w:p>
              </w:tc>
            </w:tr>
            <w:tr w:rsidR="00EF19BB" w:rsidRPr="00D35110" w14:paraId="4E42DC3E" w14:textId="77777777" w:rsidTr="00601917">
              <w:tc>
                <w:tcPr>
                  <w:tcW w:w="2231" w:type="dxa"/>
                </w:tcPr>
                <w:p w14:paraId="28CB13C1" w14:textId="77777777" w:rsidR="00EF19BB" w:rsidRPr="00D35110" w:rsidRDefault="00EF19BB" w:rsidP="00FE3476">
                  <w:pPr>
                    <w:framePr w:hSpace="180" w:wrap="around" w:vAnchor="text" w:hAnchor="text" w:y="1"/>
                    <w:suppressOverlap/>
                    <w:rPr>
                      <w:szCs w:val="24"/>
                    </w:rPr>
                  </w:pPr>
                  <w:r w:rsidRPr="00D35110">
                    <w:rPr>
                      <w:szCs w:val="24"/>
                    </w:rPr>
                    <w:t>Корпус аппарата</w:t>
                  </w:r>
                </w:p>
              </w:tc>
              <w:tc>
                <w:tcPr>
                  <w:tcW w:w="2623" w:type="dxa"/>
                </w:tcPr>
                <w:p w14:paraId="11C1AE28" w14:textId="77777777" w:rsidR="00EF19BB" w:rsidRPr="00D35110" w:rsidRDefault="00EF19BB" w:rsidP="00FE3476">
                  <w:pPr>
                    <w:keepLines/>
                    <w:framePr w:hSpace="180" w:wrap="around" w:vAnchor="text" w:hAnchor="text" w:y="1"/>
                    <w:suppressOverlap/>
                    <w:jc w:val="both"/>
                    <w:rPr>
                      <w:szCs w:val="24"/>
                    </w:rPr>
                  </w:pPr>
                  <w:r w:rsidRPr="00D35110">
                    <w:rPr>
                      <w:szCs w:val="24"/>
                    </w:rPr>
                    <w:t>на корпусе аппарата должны располагается: клавиатура управления; регулятор громкости звукового и речевого сопровождения; разъем для подключения манжеты тонометра; разъем сетевого адаптера; высококонтрастный трехстрочный дисплей.</w:t>
                  </w:r>
                </w:p>
              </w:tc>
            </w:tr>
            <w:tr w:rsidR="00EF19BB" w:rsidRPr="00D35110" w14:paraId="6E9623CD" w14:textId="77777777" w:rsidTr="00601917">
              <w:tc>
                <w:tcPr>
                  <w:tcW w:w="2231" w:type="dxa"/>
                </w:tcPr>
                <w:p w14:paraId="76081AB3" w14:textId="77777777" w:rsidR="00EF19BB" w:rsidRPr="00D35110" w:rsidRDefault="00EF19BB" w:rsidP="00FE3476">
                  <w:pPr>
                    <w:framePr w:hSpace="180" w:wrap="around" w:vAnchor="text" w:hAnchor="text" w:y="1"/>
                    <w:suppressOverlap/>
                    <w:rPr>
                      <w:szCs w:val="24"/>
                    </w:rPr>
                  </w:pPr>
                  <w:r w:rsidRPr="00D35110">
                    <w:rPr>
                      <w:szCs w:val="24"/>
                    </w:rPr>
                    <w:t>Комплект поставки</w:t>
                  </w:r>
                </w:p>
              </w:tc>
              <w:tc>
                <w:tcPr>
                  <w:tcW w:w="2623" w:type="dxa"/>
                </w:tcPr>
                <w:p w14:paraId="2FF53F9D" w14:textId="77777777" w:rsidR="00EF19BB" w:rsidRPr="00D35110" w:rsidRDefault="00EF19BB" w:rsidP="00FE3476">
                  <w:pPr>
                    <w:keepLines/>
                    <w:framePr w:hSpace="180" w:wrap="around" w:vAnchor="text" w:hAnchor="text" w:y="1"/>
                    <w:suppressOverlap/>
                    <w:jc w:val="both"/>
                    <w:rPr>
                      <w:szCs w:val="24"/>
                    </w:rPr>
                  </w:pPr>
                  <w:r w:rsidRPr="00D35110">
                    <w:rPr>
                      <w:szCs w:val="24"/>
                    </w:rPr>
                    <w:t>комплект должен состоять из: аппарата (электронного блока); источника питания; сетевого источника питания 6.0 В/500мА; манжеты для измерения давления (диапазон окружности 22-32 см); головных телефонов (наушники) – при наличии; руководства по эксплуатации; потребительской тары.</w:t>
                  </w:r>
                </w:p>
              </w:tc>
            </w:tr>
          </w:tbl>
          <w:p w14:paraId="10E87167" w14:textId="77777777" w:rsidR="00EF19BB" w:rsidRPr="00D35110" w:rsidRDefault="00EF19BB" w:rsidP="00601917">
            <w:pPr>
              <w:keepNext/>
              <w:keepLines/>
              <w:ind w:firstLine="176"/>
              <w:jc w:val="both"/>
              <w:rPr>
                <w:rFonts w:eastAsia="Times New Roman"/>
                <w:sz w:val="24"/>
                <w:szCs w:val="24"/>
                <w:lang w:eastAsia="ar-SA"/>
              </w:rPr>
            </w:pPr>
          </w:p>
        </w:tc>
        <w:tc>
          <w:tcPr>
            <w:tcW w:w="270" w:type="pct"/>
            <w:tcBorders>
              <w:top w:val="single" w:sz="4" w:space="0" w:color="auto"/>
              <w:left w:val="single" w:sz="4" w:space="0" w:color="auto"/>
              <w:bottom w:val="single" w:sz="4" w:space="0" w:color="auto"/>
              <w:right w:val="single" w:sz="4" w:space="0" w:color="auto"/>
            </w:tcBorders>
          </w:tcPr>
          <w:p w14:paraId="40532EB2"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rPr>
              <w:lastRenderedPageBreak/>
              <w:t>300</w:t>
            </w:r>
          </w:p>
        </w:tc>
        <w:tc>
          <w:tcPr>
            <w:tcW w:w="220" w:type="pct"/>
            <w:tcBorders>
              <w:top w:val="single" w:sz="4" w:space="0" w:color="auto"/>
              <w:left w:val="single" w:sz="4" w:space="0" w:color="auto"/>
              <w:bottom w:val="single" w:sz="4" w:space="0" w:color="auto"/>
              <w:right w:val="single" w:sz="4" w:space="0" w:color="auto"/>
            </w:tcBorders>
          </w:tcPr>
          <w:p w14:paraId="523337EF"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rPr>
              <w:t>шт.</w:t>
            </w:r>
          </w:p>
        </w:tc>
        <w:tc>
          <w:tcPr>
            <w:tcW w:w="357" w:type="pct"/>
            <w:tcBorders>
              <w:top w:val="single" w:sz="4" w:space="0" w:color="auto"/>
              <w:left w:val="single" w:sz="4" w:space="0" w:color="auto"/>
              <w:bottom w:val="single" w:sz="4" w:space="0" w:color="auto"/>
              <w:right w:val="single" w:sz="4" w:space="0" w:color="auto"/>
            </w:tcBorders>
          </w:tcPr>
          <w:p w14:paraId="11F59A6D" w14:textId="77777777" w:rsidR="00EF19BB" w:rsidRPr="00D35110" w:rsidRDefault="00EF19BB" w:rsidP="00601917">
            <w:pPr>
              <w:keepLines/>
              <w:widowControl w:val="0"/>
              <w:jc w:val="center"/>
              <w:rPr>
                <w:rFonts w:eastAsia="Times New Roman"/>
                <w:sz w:val="24"/>
                <w:szCs w:val="24"/>
                <w:lang w:eastAsia="ar-SA"/>
              </w:rPr>
            </w:pPr>
            <w:r w:rsidRPr="00D35110">
              <w:rPr>
                <w:bCs/>
                <w:sz w:val="24"/>
                <w:szCs w:val="24"/>
                <w:lang w:eastAsia="ru-RU"/>
              </w:rPr>
              <w:t>4 103,59</w:t>
            </w:r>
          </w:p>
        </w:tc>
        <w:tc>
          <w:tcPr>
            <w:tcW w:w="499" w:type="pct"/>
            <w:tcBorders>
              <w:top w:val="single" w:sz="4" w:space="0" w:color="auto"/>
              <w:left w:val="single" w:sz="4" w:space="0" w:color="auto"/>
              <w:bottom w:val="single" w:sz="4" w:space="0" w:color="auto"/>
              <w:right w:val="single" w:sz="4" w:space="0" w:color="auto"/>
            </w:tcBorders>
          </w:tcPr>
          <w:p w14:paraId="16320FD5" w14:textId="77777777" w:rsidR="00EF19BB" w:rsidRPr="00D35110" w:rsidRDefault="00EF19BB" w:rsidP="00601917">
            <w:pPr>
              <w:keepLines/>
              <w:widowControl w:val="0"/>
              <w:jc w:val="center"/>
              <w:rPr>
                <w:rFonts w:eastAsia="Times New Roman"/>
                <w:sz w:val="24"/>
                <w:szCs w:val="24"/>
                <w:lang w:eastAsia="ar-SA"/>
              </w:rPr>
            </w:pPr>
            <w:r w:rsidRPr="00D35110">
              <w:rPr>
                <w:sz w:val="24"/>
                <w:szCs w:val="24"/>
              </w:rPr>
              <w:t>1 231 077,00</w:t>
            </w:r>
          </w:p>
        </w:tc>
      </w:tr>
      <w:tr w:rsidR="00EF19BB" w:rsidRPr="00D35110" w14:paraId="64FABED0" w14:textId="77777777" w:rsidTr="00601917">
        <w:tc>
          <w:tcPr>
            <w:tcW w:w="3653" w:type="pct"/>
            <w:gridSpan w:val="4"/>
            <w:tcBorders>
              <w:top w:val="single" w:sz="4" w:space="0" w:color="auto"/>
              <w:left w:val="single" w:sz="4" w:space="0" w:color="auto"/>
              <w:bottom w:val="single" w:sz="4" w:space="0" w:color="auto"/>
              <w:right w:val="single" w:sz="4" w:space="0" w:color="auto"/>
            </w:tcBorders>
          </w:tcPr>
          <w:p w14:paraId="2DCD4982" w14:textId="77777777" w:rsidR="00EF19BB" w:rsidRPr="00D35110" w:rsidRDefault="00EF19BB" w:rsidP="00601917">
            <w:pPr>
              <w:keepLines/>
              <w:widowControl w:val="0"/>
              <w:jc w:val="both"/>
              <w:rPr>
                <w:sz w:val="24"/>
                <w:szCs w:val="24"/>
                <w:lang w:eastAsia="ar-SA"/>
              </w:rPr>
            </w:pPr>
            <w:r w:rsidRPr="00D35110">
              <w:rPr>
                <w:b/>
                <w:sz w:val="24"/>
                <w:szCs w:val="24"/>
                <w:lang w:eastAsia="ar-SA"/>
              </w:rPr>
              <w:lastRenderedPageBreak/>
              <w:t>ИТОГО</w:t>
            </w:r>
            <w:r w:rsidRPr="00D35110">
              <w:rPr>
                <w:b/>
                <w:sz w:val="24"/>
                <w:szCs w:val="24"/>
                <w:lang w:val="en-US" w:eastAsia="ar-SA"/>
              </w:rPr>
              <w:t>:</w:t>
            </w:r>
          </w:p>
        </w:tc>
        <w:tc>
          <w:tcPr>
            <w:tcW w:w="270" w:type="pct"/>
            <w:tcBorders>
              <w:top w:val="single" w:sz="4" w:space="0" w:color="auto"/>
              <w:left w:val="single" w:sz="4" w:space="0" w:color="auto"/>
              <w:bottom w:val="single" w:sz="4" w:space="0" w:color="auto"/>
              <w:right w:val="single" w:sz="4" w:space="0" w:color="auto"/>
            </w:tcBorders>
          </w:tcPr>
          <w:p w14:paraId="3789C323" w14:textId="77777777" w:rsidR="00EF19BB" w:rsidRPr="00B23827" w:rsidRDefault="00EF19BB" w:rsidP="00601917">
            <w:pPr>
              <w:keepLines/>
              <w:widowControl w:val="0"/>
              <w:jc w:val="center"/>
              <w:rPr>
                <w:b/>
                <w:sz w:val="24"/>
                <w:szCs w:val="24"/>
                <w:lang w:eastAsia="ar-SA"/>
              </w:rPr>
            </w:pPr>
            <w:r w:rsidRPr="00B23827">
              <w:rPr>
                <w:b/>
                <w:sz w:val="24"/>
                <w:szCs w:val="24"/>
              </w:rPr>
              <w:t>300</w:t>
            </w:r>
          </w:p>
        </w:tc>
        <w:tc>
          <w:tcPr>
            <w:tcW w:w="220" w:type="pct"/>
            <w:tcBorders>
              <w:top w:val="single" w:sz="4" w:space="0" w:color="auto"/>
              <w:left w:val="single" w:sz="4" w:space="0" w:color="auto"/>
              <w:bottom w:val="single" w:sz="4" w:space="0" w:color="auto"/>
              <w:right w:val="single" w:sz="4" w:space="0" w:color="auto"/>
            </w:tcBorders>
          </w:tcPr>
          <w:p w14:paraId="3B0FF76C" w14:textId="77777777" w:rsidR="00EF19BB" w:rsidRPr="00B23827" w:rsidRDefault="00EF19BB" w:rsidP="00601917">
            <w:pPr>
              <w:keepLines/>
              <w:widowControl w:val="0"/>
              <w:jc w:val="center"/>
              <w:rPr>
                <w:b/>
                <w:sz w:val="24"/>
                <w:szCs w:val="24"/>
                <w:lang w:eastAsia="ar-SA"/>
              </w:rPr>
            </w:pPr>
          </w:p>
        </w:tc>
        <w:tc>
          <w:tcPr>
            <w:tcW w:w="357" w:type="pct"/>
            <w:tcBorders>
              <w:top w:val="single" w:sz="4" w:space="0" w:color="auto"/>
              <w:left w:val="single" w:sz="4" w:space="0" w:color="auto"/>
              <w:bottom w:val="single" w:sz="4" w:space="0" w:color="auto"/>
              <w:right w:val="single" w:sz="4" w:space="0" w:color="auto"/>
            </w:tcBorders>
          </w:tcPr>
          <w:p w14:paraId="6E93BEAD" w14:textId="77777777" w:rsidR="00EF19BB" w:rsidRPr="00B23827" w:rsidRDefault="00EF19BB" w:rsidP="00601917">
            <w:pPr>
              <w:keepLines/>
              <w:widowControl w:val="0"/>
              <w:jc w:val="center"/>
              <w:rPr>
                <w:b/>
                <w:bCs/>
                <w:sz w:val="24"/>
                <w:szCs w:val="24"/>
                <w:lang w:eastAsia="ar-SA"/>
              </w:rPr>
            </w:pPr>
          </w:p>
        </w:tc>
        <w:tc>
          <w:tcPr>
            <w:tcW w:w="499" w:type="pct"/>
            <w:tcBorders>
              <w:top w:val="single" w:sz="4" w:space="0" w:color="auto"/>
              <w:left w:val="single" w:sz="4" w:space="0" w:color="auto"/>
              <w:bottom w:val="single" w:sz="4" w:space="0" w:color="auto"/>
              <w:right w:val="single" w:sz="4" w:space="0" w:color="auto"/>
            </w:tcBorders>
          </w:tcPr>
          <w:p w14:paraId="3506E7E3" w14:textId="77777777" w:rsidR="00EF19BB" w:rsidRPr="00B23827" w:rsidRDefault="00EF19BB" w:rsidP="00601917">
            <w:pPr>
              <w:keepLines/>
              <w:widowControl w:val="0"/>
              <w:jc w:val="center"/>
              <w:rPr>
                <w:b/>
                <w:sz w:val="24"/>
                <w:szCs w:val="24"/>
              </w:rPr>
            </w:pPr>
            <w:r w:rsidRPr="00B23827">
              <w:rPr>
                <w:b/>
                <w:sz w:val="24"/>
                <w:szCs w:val="24"/>
              </w:rPr>
              <w:t>1 231 077,00</w:t>
            </w:r>
          </w:p>
        </w:tc>
      </w:tr>
    </w:tbl>
    <w:p w14:paraId="0277191E" w14:textId="77777777" w:rsidR="00EF19BB" w:rsidRPr="00D35110" w:rsidRDefault="00EF19BB" w:rsidP="00EF19BB">
      <w:pPr>
        <w:suppressAutoHyphens/>
        <w:ind w:firstLine="567"/>
        <w:jc w:val="both"/>
        <w:rPr>
          <w:b/>
          <w:szCs w:val="24"/>
        </w:rPr>
      </w:pPr>
    </w:p>
    <w:p w14:paraId="2E0B486D" w14:textId="77777777" w:rsidR="00EF19BB" w:rsidRPr="00D35110" w:rsidRDefault="00EF19BB" w:rsidP="00EF19BB">
      <w:pPr>
        <w:ind w:firstLine="567"/>
        <w:jc w:val="both"/>
        <w:rPr>
          <w:b/>
          <w:bCs/>
          <w:szCs w:val="24"/>
        </w:rPr>
      </w:pPr>
      <w:r w:rsidRPr="00D35110">
        <w:rPr>
          <w:szCs w:val="24"/>
        </w:rPr>
        <w:t>Конструкция медицинского тонометра с речевым выходом должна обеспечивать пользователю удобство и простоту обращения с ним, самостоятельную настройку и регулировку (при необходимости) при подготовке к эксплуатации и во время эксплуатации.</w:t>
      </w:r>
    </w:p>
    <w:p w14:paraId="01E63DBE" w14:textId="77777777" w:rsidR="00EF19BB" w:rsidRPr="00D35110" w:rsidRDefault="00EF19BB" w:rsidP="00EF19BB">
      <w:pPr>
        <w:ind w:firstLine="567"/>
        <w:jc w:val="both"/>
        <w:rPr>
          <w:b/>
          <w:bCs/>
          <w:szCs w:val="24"/>
        </w:rPr>
      </w:pPr>
    </w:p>
    <w:p w14:paraId="78DB58B8" w14:textId="77777777" w:rsidR="00EF19BB" w:rsidRPr="00D35110" w:rsidRDefault="00EF19BB" w:rsidP="00EF19BB">
      <w:pPr>
        <w:ind w:firstLine="567"/>
        <w:jc w:val="both"/>
        <w:rPr>
          <w:szCs w:val="24"/>
        </w:rPr>
      </w:pPr>
      <w:r w:rsidRPr="00D35110">
        <w:rPr>
          <w:b/>
          <w:bCs/>
          <w:szCs w:val="24"/>
        </w:rPr>
        <w:t>Требования к качеству и безопасности товара.</w:t>
      </w:r>
    </w:p>
    <w:p w14:paraId="11E77B9E" w14:textId="77777777" w:rsidR="00EF19BB" w:rsidRPr="00D35110" w:rsidRDefault="00EF19BB" w:rsidP="00EF19BB">
      <w:pPr>
        <w:ind w:firstLine="567"/>
        <w:jc w:val="both"/>
        <w:rPr>
          <w:szCs w:val="24"/>
        </w:rPr>
      </w:pPr>
      <w:r w:rsidRPr="00D35110">
        <w:rPr>
          <w:szCs w:val="24"/>
        </w:rPr>
        <w:t>Медицинские термометры с речевым выходом должны соответствовать требованиям:</w:t>
      </w:r>
    </w:p>
    <w:p w14:paraId="787E0EAC" w14:textId="77777777" w:rsidR="00EF19BB" w:rsidRPr="00D35110" w:rsidRDefault="00EF19BB" w:rsidP="00EF19BB">
      <w:pPr>
        <w:ind w:firstLine="567"/>
        <w:jc w:val="both"/>
        <w:rPr>
          <w:szCs w:val="24"/>
        </w:rPr>
      </w:pPr>
      <w:r w:rsidRPr="00D35110">
        <w:rPr>
          <w:szCs w:val="24"/>
        </w:rPr>
        <w:t>- ГОСТ Р 50444-2020 Национальный стандарт Российской Федерации «Приборы, аппараты и оборудование медицинские. Общие технические условия» (разделы 3,4);</w:t>
      </w:r>
    </w:p>
    <w:p w14:paraId="1705D81E" w14:textId="77777777" w:rsidR="00EF19BB" w:rsidRPr="00D35110" w:rsidRDefault="00EF19BB" w:rsidP="00EF19BB">
      <w:pPr>
        <w:ind w:firstLine="567"/>
        <w:jc w:val="both"/>
        <w:rPr>
          <w:szCs w:val="24"/>
        </w:rPr>
      </w:pPr>
      <w:r w:rsidRPr="00D35110">
        <w:rPr>
          <w:szCs w:val="24"/>
        </w:rPr>
        <w:t xml:space="preserve">- ГОСТ Р 50267.0-92 (МЭК 601-1-88) Государственный стандарт Российской Федерации «Изделия медицинские электрические. Часть 1. Общие требования безопасности». Классификация медицинских термометров с речевым выходом должна быть представлена в соответствии с Национальным стандартом Российской Федерации ГОСТ Р ИСО 9999-2019 «Вспомогательные средства для людей с ограничениями жизнедеятельности. Классификация и терминология» (Оборудование и материалы для физического, физиологического и биохимического контроля). </w:t>
      </w:r>
    </w:p>
    <w:p w14:paraId="5640C5A6" w14:textId="77777777" w:rsidR="00EF19BB" w:rsidRPr="00D35110" w:rsidRDefault="00EF19BB" w:rsidP="00EF19BB">
      <w:pPr>
        <w:ind w:firstLine="567"/>
        <w:jc w:val="both"/>
        <w:rPr>
          <w:szCs w:val="24"/>
        </w:rPr>
      </w:pPr>
      <w:r w:rsidRPr="00D35110">
        <w:rPr>
          <w:szCs w:val="24"/>
        </w:rPr>
        <w:t>При поставке Товара должны быть представлены: регистрационное удостоверение на поставляемый Товар и инструкция по применению изделия на русском языке.</w:t>
      </w:r>
    </w:p>
    <w:p w14:paraId="0DEB477A" w14:textId="77777777" w:rsidR="00EF19BB" w:rsidRPr="00D35110" w:rsidRDefault="00EF19BB" w:rsidP="00EF19BB">
      <w:pPr>
        <w:ind w:firstLine="567"/>
        <w:jc w:val="both"/>
        <w:rPr>
          <w:szCs w:val="24"/>
        </w:rPr>
      </w:pPr>
      <w:r w:rsidRPr="00D35110">
        <w:rPr>
          <w:szCs w:val="24"/>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1621C274" w14:textId="77777777" w:rsidR="00EF19BB" w:rsidRPr="00D35110" w:rsidRDefault="00EF19BB" w:rsidP="00EF19BB">
      <w:pPr>
        <w:ind w:firstLine="567"/>
        <w:jc w:val="both"/>
        <w:rPr>
          <w:szCs w:val="24"/>
        </w:rPr>
      </w:pPr>
    </w:p>
    <w:p w14:paraId="282D9949" w14:textId="77777777" w:rsidR="00EF19BB" w:rsidRPr="00D35110" w:rsidRDefault="00EF19BB" w:rsidP="00EF19BB">
      <w:pPr>
        <w:ind w:firstLine="567"/>
        <w:jc w:val="both"/>
        <w:rPr>
          <w:szCs w:val="24"/>
        </w:rPr>
      </w:pPr>
      <w:r w:rsidRPr="00D35110">
        <w:rPr>
          <w:b/>
          <w:bCs/>
          <w:szCs w:val="24"/>
        </w:rPr>
        <w:t>Требования к размерам, упаковке, отгрузке товара.</w:t>
      </w:r>
    </w:p>
    <w:p w14:paraId="785E4162" w14:textId="77777777" w:rsidR="00EF19BB" w:rsidRPr="00D35110" w:rsidRDefault="00EF19BB" w:rsidP="00EF19BB">
      <w:pPr>
        <w:ind w:firstLine="567"/>
        <w:jc w:val="both"/>
        <w:rPr>
          <w:szCs w:val="24"/>
        </w:rPr>
      </w:pPr>
      <w:r w:rsidRPr="00D35110">
        <w:rPr>
          <w:szCs w:val="24"/>
        </w:rPr>
        <w:t>Маркировка, упаковка, хранение и транспортировка изделий к месту выдачи инвалидам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52FF51D3" w14:textId="77777777" w:rsidR="00EF19BB" w:rsidRPr="00D35110" w:rsidRDefault="00EF19BB" w:rsidP="00EF19BB">
      <w:pPr>
        <w:ind w:firstLine="567"/>
        <w:jc w:val="both"/>
        <w:rPr>
          <w:szCs w:val="24"/>
        </w:rPr>
      </w:pPr>
      <w:r w:rsidRPr="00D35110">
        <w:rPr>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27F2E3FF" w14:textId="77777777" w:rsidR="00EF19BB" w:rsidRPr="00D35110" w:rsidRDefault="00EF19BB" w:rsidP="00EF19BB">
      <w:pPr>
        <w:ind w:firstLine="567"/>
        <w:jc w:val="both"/>
        <w:rPr>
          <w:szCs w:val="24"/>
        </w:rPr>
      </w:pPr>
      <w:r w:rsidRPr="00D35110">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2C216709" w14:textId="77777777" w:rsidR="00EF19BB" w:rsidRPr="00D35110" w:rsidRDefault="00EF19BB" w:rsidP="00EF19BB">
      <w:pPr>
        <w:ind w:firstLine="567"/>
        <w:jc w:val="both"/>
        <w:rPr>
          <w:szCs w:val="24"/>
        </w:rPr>
      </w:pPr>
    </w:p>
    <w:p w14:paraId="187A7CFE" w14:textId="77777777" w:rsidR="00EF19BB" w:rsidRPr="00D35110" w:rsidRDefault="00EF19BB" w:rsidP="00EF19BB">
      <w:pPr>
        <w:ind w:firstLine="567"/>
        <w:jc w:val="both"/>
        <w:rPr>
          <w:szCs w:val="24"/>
        </w:rPr>
      </w:pPr>
      <w:r w:rsidRPr="00D35110">
        <w:rPr>
          <w:b/>
          <w:bCs/>
          <w:szCs w:val="24"/>
        </w:rPr>
        <w:t>Место доставки товара, выполнения работ, оказания услуг</w:t>
      </w:r>
    </w:p>
    <w:p w14:paraId="2E19E302" w14:textId="77777777" w:rsidR="00EF19BB" w:rsidRPr="00D35110" w:rsidRDefault="00EF19BB" w:rsidP="00EF19BB">
      <w:pPr>
        <w:ind w:firstLine="567"/>
        <w:jc w:val="both"/>
        <w:rPr>
          <w:szCs w:val="24"/>
        </w:rPr>
      </w:pPr>
      <w:r w:rsidRPr="00D35110">
        <w:rPr>
          <w:szCs w:val="24"/>
        </w:rPr>
        <w:t>Краснодарский край:</w:t>
      </w:r>
    </w:p>
    <w:p w14:paraId="32268930" w14:textId="77777777" w:rsidR="00EF19BB" w:rsidRPr="00D35110" w:rsidRDefault="00EF19BB" w:rsidP="00EF19BB">
      <w:pPr>
        <w:ind w:firstLine="567"/>
        <w:jc w:val="both"/>
        <w:rPr>
          <w:szCs w:val="24"/>
        </w:rPr>
      </w:pPr>
      <w:r w:rsidRPr="00D35110">
        <w:rPr>
          <w:szCs w:val="24"/>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0B69B887" w14:textId="77777777" w:rsidR="00EF19BB" w:rsidRPr="00D35110" w:rsidRDefault="00EF19BB" w:rsidP="00EF19BB">
      <w:pPr>
        <w:ind w:firstLine="567"/>
        <w:jc w:val="both"/>
        <w:rPr>
          <w:szCs w:val="24"/>
        </w:rPr>
      </w:pPr>
      <w:r w:rsidRPr="00D35110">
        <w:rPr>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71D8CE75" w14:textId="77777777" w:rsidR="00EF19BB" w:rsidRPr="00D35110" w:rsidRDefault="00EF19BB" w:rsidP="00EF19BB">
      <w:pPr>
        <w:ind w:firstLine="567"/>
        <w:jc w:val="both"/>
        <w:rPr>
          <w:szCs w:val="24"/>
        </w:rPr>
      </w:pPr>
    </w:p>
    <w:p w14:paraId="25756048" w14:textId="77777777" w:rsidR="00EF19BB" w:rsidRPr="00D35110" w:rsidRDefault="00EF19BB" w:rsidP="00EF19BB">
      <w:pPr>
        <w:ind w:firstLine="567"/>
        <w:jc w:val="both"/>
        <w:rPr>
          <w:szCs w:val="24"/>
        </w:rPr>
      </w:pPr>
      <w:r w:rsidRPr="00D35110">
        <w:rPr>
          <w:b/>
          <w:bCs/>
          <w:szCs w:val="24"/>
        </w:rPr>
        <w:t>Сроки поставки товара или завершения работ, либо график оказания услуг:</w:t>
      </w:r>
      <w:r w:rsidRPr="00D35110">
        <w:rPr>
          <w:szCs w:val="24"/>
        </w:rPr>
        <w:t xml:space="preserve"> </w:t>
      </w:r>
    </w:p>
    <w:p w14:paraId="22FB74B6" w14:textId="77777777" w:rsidR="00EF19BB" w:rsidRPr="00D35110" w:rsidRDefault="00EF19BB" w:rsidP="00EF19BB">
      <w:pPr>
        <w:tabs>
          <w:tab w:val="left" w:pos="709"/>
        </w:tabs>
        <w:ind w:firstLine="567"/>
        <w:jc w:val="both"/>
        <w:rPr>
          <w:szCs w:val="24"/>
        </w:rPr>
      </w:pPr>
      <w:r w:rsidRPr="00D35110">
        <w:rPr>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11.07.2024 года. </w:t>
      </w:r>
    </w:p>
    <w:p w14:paraId="23B939B1" w14:textId="77777777" w:rsidR="00EF19BB" w:rsidRPr="00D35110" w:rsidRDefault="00EF19BB" w:rsidP="00EF19BB">
      <w:pPr>
        <w:tabs>
          <w:tab w:val="left" w:pos="709"/>
        </w:tabs>
        <w:ind w:firstLine="567"/>
        <w:jc w:val="both"/>
        <w:rPr>
          <w:bCs/>
          <w:szCs w:val="24"/>
        </w:rPr>
      </w:pPr>
      <w:r w:rsidRPr="00D35110">
        <w:rPr>
          <w:bCs/>
          <w:szCs w:val="24"/>
        </w:rPr>
        <w:t>До 15.01.2024 г.</w:t>
      </w:r>
      <w:r w:rsidRPr="00D35110">
        <w:rPr>
          <w:szCs w:val="24"/>
        </w:rPr>
        <w:t xml:space="preserve"> предоставить на склад Поставщика, расположенный на территории Краснодарского края, 100% от общего количества Товара (для возможности Заказчику провести выборочную приемку товара).</w:t>
      </w:r>
    </w:p>
    <w:p w14:paraId="13E71165" w14:textId="77777777" w:rsidR="00EF19BB" w:rsidRPr="00D35110" w:rsidRDefault="00EF19BB" w:rsidP="00EF19BB">
      <w:pPr>
        <w:ind w:firstLine="567"/>
        <w:jc w:val="both"/>
        <w:rPr>
          <w:b/>
          <w:bCs/>
          <w:szCs w:val="24"/>
        </w:rPr>
      </w:pPr>
    </w:p>
    <w:p w14:paraId="22931E38" w14:textId="77777777" w:rsidR="00EF19BB" w:rsidRPr="00D35110" w:rsidRDefault="00EF19BB" w:rsidP="00EF19BB">
      <w:pPr>
        <w:ind w:firstLine="567"/>
        <w:jc w:val="both"/>
        <w:rPr>
          <w:b/>
          <w:bCs/>
          <w:szCs w:val="24"/>
        </w:rPr>
      </w:pPr>
      <w:r w:rsidRPr="00D35110">
        <w:rPr>
          <w:b/>
          <w:bCs/>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00FB0B9C" w14:textId="77777777" w:rsidR="00EF19BB" w:rsidRPr="00D35110" w:rsidRDefault="00EF19BB" w:rsidP="00EF19BB">
      <w:pPr>
        <w:ind w:firstLine="567"/>
        <w:jc w:val="both"/>
        <w:rPr>
          <w:szCs w:val="24"/>
        </w:rPr>
      </w:pPr>
      <w:r w:rsidRPr="00D35110">
        <w:rPr>
          <w:szCs w:val="24"/>
        </w:rPr>
        <w:t xml:space="preserve">Гарантийный срок должен составлять не менее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w:t>
      </w:r>
    </w:p>
    <w:p w14:paraId="39F91B2A" w14:textId="77777777" w:rsidR="00EF19BB" w:rsidRPr="00D35110" w:rsidRDefault="00EF19BB" w:rsidP="00EF19BB">
      <w:pPr>
        <w:ind w:firstLine="567"/>
        <w:jc w:val="both"/>
        <w:rPr>
          <w:szCs w:val="24"/>
        </w:rPr>
      </w:pPr>
      <w:r w:rsidRPr="00D35110">
        <w:rPr>
          <w:szCs w:val="24"/>
        </w:rPr>
        <w:t>До 15.01.2024 г.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5B001993" w14:textId="27E6F0C8" w:rsidR="005E5EAB" w:rsidRPr="00F935B8" w:rsidRDefault="00EF19BB" w:rsidP="00FC10F7">
      <w:pPr>
        <w:keepLines/>
        <w:widowControl w:val="0"/>
        <w:tabs>
          <w:tab w:val="left" w:pos="5865"/>
        </w:tabs>
        <w:ind w:firstLine="567"/>
        <w:jc w:val="both"/>
        <w:rPr>
          <w:b/>
          <w:szCs w:val="24"/>
        </w:rPr>
      </w:pPr>
      <w:r w:rsidRPr="00D35110">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региональным отделением по истечении сроков службы, установленных изготовителем ТСР.</w:t>
      </w:r>
    </w:p>
    <w:sectPr w:rsidR="005E5EAB"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01EF9D41" w14:textId="77777777" w:rsidR="00EF19BB" w:rsidRDefault="00EF19BB" w:rsidP="00EF19BB">
      <w:pPr>
        <w:pStyle w:val="affff4"/>
      </w:pPr>
      <w:r>
        <w:rPr>
          <w:rStyle w:val="affff6"/>
        </w:rPr>
        <w:footnoteRef/>
      </w:r>
      <w:r>
        <w:t xml:space="preserve"> Не более</w:t>
      </w:r>
    </w:p>
  </w:footnote>
  <w:footnote w:id="2">
    <w:p w14:paraId="60708879" w14:textId="77777777" w:rsidR="00EF19BB" w:rsidRDefault="00EF19BB" w:rsidP="00EF19BB">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209A"/>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C02BF"/>
    <w:rsid w:val="00DC615A"/>
    <w:rsid w:val="00DD390A"/>
    <w:rsid w:val="00DF5110"/>
    <w:rsid w:val="00DF5688"/>
    <w:rsid w:val="00E05835"/>
    <w:rsid w:val="00E06F0E"/>
    <w:rsid w:val="00E43D1E"/>
    <w:rsid w:val="00E462E9"/>
    <w:rsid w:val="00E812D9"/>
    <w:rsid w:val="00E91DED"/>
    <w:rsid w:val="00EE756A"/>
    <w:rsid w:val="00EF19BB"/>
    <w:rsid w:val="00EF4A53"/>
    <w:rsid w:val="00F210DC"/>
    <w:rsid w:val="00F40C65"/>
    <w:rsid w:val="00F4162E"/>
    <w:rsid w:val="00F45416"/>
    <w:rsid w:val="00F55F93"/>
    <w:rsid w:val="00F76095"/>
    <w:rsid w:val="00F82A8E"/>
    <w:rsid w:val="00F935B8"/>
    <w:rsid w:val="00FC10F7"/>
    <w:rsid w:val="00FD6519"/>
    <w:rsid w:val="00FE0203"/>
    <w:rsid w:val="00FE33DE"/>
    <w:rsid w:val="00FE3476"/>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EF19B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5448-22F4-4948-889F-8BAEEEA8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147</cp:revision>
  <dcterms:created xsi:type="dcterms:W3CDTF">2021-12-29T15:28:00Z</dcterms:created>
  <dcterms:modified xsi:type="dcterms:W3CDTF">2023-10-18T07:49:00Z</dcterms:modified>
</cp:coreProperties>
</file>